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2"/>
          <w:sz w:val="48"/>
          <w:szCs w:val="48"/>
          <w:lang w:val="en-US" w:eastAsia="zh-CN"/>
          <w14:textOutline w14:w="6096" w14:cap="flat" w14:cmpd="sng">
            <w14:solidFill>
              <w14:srgbClr w14:val="000000"/>
            </w14:solidFill>
            <w14:prstDash w14:val="solid"/>
            <w14:miter w14:val="0"/>
          </w14:textOutline>
        </w:rPr>
        <w:t>800吨燕麦草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QJKJ-CG-YMC-20240417</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610" w:bottom="0" w:left="1616"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377"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800吨燕麦草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r>
              <w:rPr>
                <w:rFonts w:hint="eastAsia" w:ascii="仿宋" w:hAnsi="仿宋" w:eastAsia="仿宋" w:cs="仿宋"/>
                <w:spacing w:val="-5"/>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800吨燕麦草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377"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3"/>
                <w:sz w:val="23"/>
                <w:szCs w:val="23"/>
              </w:rPr>
              <w:t>正反复印件加盖公章</w:t>
            </w:r>
            <w:bookmarkStart w:id="0" w:name="_GoBack"/>
            <w:bookmarkEnd w:id="0"/>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hint="eastAsia" w:ascii="仿宋" w:hAnsi="仿宋" w:eastAsia="仿宋" w:cs="仿宋"/>
                <w:sz w:val="23"/>
                <w:szCs w:val="23"/>
                <w:lang w:eastAsia="zh-CN"/>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377" w:type="dxa"/>
            <w:vAlign w:val="center"/>
          </w:tcPr>
          <w:p>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04</w:t>
            </w:r>
            <w:r>
              <w:rPr>
                <w:rFonts w:hint="eastAsia" w:ascii="仿宋" w:hAnsi="仿宋" w:eastAsia="仿宋" w:cs="仿宋"/>
                <w:spacing w:val="-11"/>
                <w:sz w:val="24"/>
                <w:szCs w:val="24"/>
                <w:lang w:val="en-US" w:eastAsia="zh-CN"/>
              </w:rPr>
              <w:t>月</w:t>
            </w:r>
            <w:r>
              <w:rPr>
                <w:rFonts w:hint="eastAsia" w:ascii="仿宋" w:hAnsi="仿宋" w:eastAsia="仿宋" w:cs="仿宋"/>
                <w:spacing w:val="-11"/>
                <w:sz w:val="24"/>
                <w:szCs w:val="24"/>
                <w:u w:val="single"/>
                <w:lang w:val="en-US" w:eastAsia="zh-CN"/>
              </w:rPr>
              <w:t>17</w:t>
            </w:r>
            <w:r>
              <w:rPr>
                <w:rFonts w:ascii="仿宋" w:hAnsi="仿宋" w:eastAsia="仿宋" w:cs="仿宋"/>
                <w:spacing w:val="-11"/>
                <w:sz w:val="24"/>
                <w:szCs w:val="24"/>
              </w:rPr>
              <w:t>日</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11"/>
                <w:sz w:val="24"/>
                <w:szCs w:val="24"/>
              </w:rPr>
              <w:fldChar w:fldCharType="begin"/>
            </w:r>
            <w:r>
              <w:rPr>
                <w:rFonts w:ascii="仿宋" w:hAnsi="仿宋" w:eastAsia="仿宋" w:cs="仿宋"/>
                <w:spacing w:val="-11"/>
                <w:sz w:val="24"/>
                <w:szCs w:val="24"/>
              </w:rPr>
              <w:instrText xml:space="preserve"> HYPERLINK "mailto:分之前将投标文件加盖公章加密后发送至邮箱gansu_qjmy_ts@163.com" </w:instrText>
            </w:r>
            <w:r>
              <w:rPr>
                <w:rFonts w:ascii="仿宋" w:hAnsi="仿宋" w:eastAsia="仿宋" w:cs="仿宋"/>
                <w:spacing w:val="-11"/>
                <w:sz w:val="24"/>
                <w:szCs w:val="24"/>
              </w:rPr>
              <w:fldChar w:fldCharType="separate"/>
            </w:r>
            <w:r>
              <w:rPr>
                <w:rStyle w:val="7"/>
                <w:rFonts w:ascii="仿宋" w:hAnsi="仿宋" w:eastAsia="仿宋" w:cs="仿宋"/>
                <w:spacing w:val="-11"/>
                <w:sz w:val="24"/>
                <w:szCs w:val="24"/>
              </w:rPr>
              <w:t>分之前</w:t>
            </w:r>
            <w:r>
              <w:rPr>
                <w:rStyle w:val="7"/>
                <w:rFonts w:hint="eastAsia" w:ascii="仿宋" w:hAnsi="仿宋" w:eastAsia="仿宋" w:cs="仿宋"/>
                <w:spacing w:val="-11"/>
                <w:sz w:val="24"/>
                <w:szCs w:val="24"/>
                <w:lang w:val="en-US" w:eastAsia="zh-CN"/>
              </w:rPr>
              <w:t>将投标文件</w:t>
            </w:r>
            <w:r>
              <w:rPr>
                <w:rStyle w:val="7"/>
                <w:rFonts w:hint="eastAsia" w:ascii="仿宋" w:hAnsi="仿宋" w:eastAsia="仿宋" w:cs="仿宋"/>
                <w:color w:val="FF0000"/>
                <w:spacing w:val="-11"/>
                <w:sz w:val="24"/>
                <w:szCs w:val="24"/>
                <w:lang w:val="en-US" w:eastAsia="zh-CN"/>
              </w:rPr>
              <w:t>加盖公章加密</w:t>
            </w:r>
            <w:r>
              <w:rPr>
                <w:rStyle w:val="7"/>
                <w:rFonts w:hint="eastAsia" w:ascii="仿宋" w:hAnsi="仿宋" w:eastAsia="仿宋" w:cs="仿宋"/>
                <w:spacing w:val="-11"/>
                <w:sz w:val="24"/>
                <w:szCs w:val="24"/>
                <w:lang w:val="en-US" w:eastAsia="zh-CN"/>
              </w:rPr>
              <w:t>后发送至邮箱</w:t>
            </w:r>
            <w:r>
              <w:rPr>
                <w:rStyle w:val="7"/>
                <w:rFonts w:hint="eastAsia" w:ascii="仿宋" w:hAnsi="仿宋" w:eastAsia="仿宋" w:cs="仿宋"/>
                <w:spacing w:val="-11"/>
                <w:sz w:val="28"/>
                <w:szCs w:val="28"/>
                <w:lang w:val="en-US" w:eastAsia="zh-CN"/>
              </w:rPr>
              <w:t>gansu_qjmy_ts@163.com</w:t>
            </w:r>
            <w:r>
              <w:rPr>
                <w:rFonts w:ascii="仿宋" w:hAnsi="仿宋" w:eastAsia="仿宋" w:cs="仿宋"/>
                <w:spacing w:val="-11"/>
                <w:sz w:val="24"/>
                <w:szCs w:val="24"/>
              </w:rPr>
              <w:fldChar w:fldCharType="end"/>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377"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pPr>
        <w:spacing w:line="235" w:lineRule="exact"/>
      </w:pPr>
    </w:p>
    <w:p>
      <w:pPr>
        <w:rPr>
          <w:rFonts w:ascii="Arial"/>
          <w:sz w:val="21"/>
        </w:rPr>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spacing w:line="41" w:lineRule="exact"/>
        <w:rPr>
          <w:sz w:val="18"/>
          <w:szCs w:val="18"/>
        </w:rPr>
      </w:pPr>
    </w:p>
    <w:p>
      <w:pPr>
        <w:spacing w:line="220" w:lineRule="auto"/>
        <w:ind w:left="498"/>
        <w:rPr>
          <w:rFonts w:ascii="宋体" w:hAnsi="宋体" w:eastAsia="宋体" w:cs="宋体"/>
          <w:sz w:val="24"/>
          <w:szCs w:val="24"/>
        </w:rPr>
      </w:pPr>
      <w:r>
        <w:rPr>
          <w:rFonts w:ascii="Times New Roman" w:hAnsi="Times New Roman" w:eastAsia="Times New Roman" w:cs="Times New Roman"/>
          <w:b/>
          <w:bCs/>
          <w:spacing w:val="-10"/>
          <w:sz w:val="24"/>
          <w:szCs w:val="24"/>
        </w:rPr>
        <w:t>1</w:t>
      </w:r>
      <w:r>
        <w:rPr>
          <w:rFonts w:ascii="Times New Roman" w:hAnsi="Times New Roman" w:eastAsia="Times New Roman" w:cs="Times New Roman"/>
          <w:b/>
          <w:bCs/>
          <w:spacing w:val="-32"/>
          <w:sz w:val="24"/>
          <w:szCs w:val="24"/>
        </w:rPr>
        <w:t xml:space="preserve"> </w:t>
      </w:r>
      <w:r>
        <w:rPr>
          <w:rFonts w:ascii="宋体" w:hAnsi="宋体" w:eastAsia="宋体" w:cs="宋体"/>
          <w:b/>
          <w:bCs/>
          <w:spacing w:val="-10"/>
          <w:sz w:val="24"/>
          <w:szCs w:val="24"/>
        </w:rPr>
        <w:t>、感官指标</w:t>
      </w:r>
    </w:p>
    <w:p>
      <w:pPr>
        <w:pStyle w:val="2"/>
        <w:spacing w:line="344" w:lineRule="auto"/>
      </w:pPr>
    </w:p>
    <w:p>
      <w:pPr>
        <w:spacing w:before="78" w:line="471" w:lineRule="exact"/>
        <w:ind w:left="489"/>
        <w:rPr>
          <w:rFonts w:ascii="宋体" w:hAnsi="宋体" w:eastAsia="宋体" w:cs="宋体"/>
          <w:sz w:val="24"/>
          <w:szCs w:val="24"/>
        </w:rPr>
      </w:pPr>
      <w:r>
        <w:rPr>
          <w:rFonts w:ascii="宋体" w:hAnsi="宋体" w:eastAsia="宋体" w:cs="宋体"/>
          <w:spacing w:val="-2"/>
          <w:position w:val="17"/>
          <w:sz w:val="24"/>
          <w:szCs w:val="24"/>
        </w:rPr>
        <w:t>燕麦干草要求表面绿色或浅绿色，因日晒、雨淋或贮藏等原</w:t>
      </w:r>
      <w:r>
        <w:rPr>
          <w:rFonts w:ascii="宋体" w:hAnsi="宋体" w:eastAsia="宋体" w:cs="宋体"/>
          <w:spacing w:val="-3"/>
          <w:position w:val="17"/>
          <w:sz w:val="24"/>
          <w:szCs w:val="24"/>
        </w:rPr>
        <w:t>因导致干草表面发</w:t>
      </w:r>
    </w:p>
    <w:p>
      <w:pPr>
        <w:spacing w:line="218" w:lineRule="auto"/>
        <w:ind w:left="8"/>
        <w:rPr>
          <w:rFonts w:ascii="宋体" w:hAnsi="宋体" w:eastAsia="宋体" w:cs="宋体"/>
          <w:sz w:val="24"/>
          <w:szCs w:val="24"/>
        </w:rPr>
      </w:pPr>
      <w:r>
        <w:rPr>
          <w:rFonts w:ascii="宋体" w:hAnsi="宋体" w:eastAsia="宋体" w:cs="宋体"/>
          <w:spacing w:val="-2"/>
          <w:sz w:val="24"/>
          <w:szCs w:val="24"/>
        </w:rPr>
        <w:t>黄或失绿的，其内部应为绿色或浅绿色，无异味或有干草芳香</w:t>
      </w:r>
      <w:r>
        <w:rPr>
          <w:rFonts w:ascii="宋体" w:hAnsi="宋体" w:eastAsia="宋体" w:cs="宋体"/>
          <w:spacing w:val="-3"/>
          <w:sz w:val="24"/>
          <w:szCs w:val="24"/>
        </w:rPr>
        <w:t>味，无霉变。</w:t>
      </w:r>
    </w:p>
    <w:p>
      <w:pPr>
        <w:pStyle w:val="2"/>
        <w:spacing w:line="348" w:lineRule="auto"/>
      </w:pPr>
    </w:p>
    <w:p>
      <w:pPr>
        <w:spacing w:before="79" w:line="219" w:lineRule="auto"/>
        <w:ind w:left="487"/>
        <w:outlineLvl w:val="6"/>
        <w:rPr>
          <w:rFonts w:ascii="宋体" w:hAnsi="宋体" w:eastAsia="宋体" w:cs="宋体"/>
          <w:sz w:val="24"/>
          <w:szCs w:val="24"/>
        </w:rPr>
      </w:pPr>
      <w:r>
        <w:rPr>
          <w:rFonts w:ascii="Times New Roman" w:hAnsi="Times New Roman" w:eastAsia="Times New Roman" w:cs="Times New Roman"/>
          <w:b/>
          <w:bCs/>
          <w:spacing w:val="-8"/>
          <w:sz w:val="24"/>
          <w:szCs w:val="24"/>
        </w:rPr>
        <w:t>2</w:t>
      </w:r>
      <w:r>
        <w:rPr>
          <w:rFonts w:ascii="Times New Roman" w:hAnsi="Times New Roman" w:eastAsia="Times New Roman" w:cs="Times New Roman"/>
          <w:b/>
          <w:bCs/>
          <w:spacing w:val="-34"/>
          <w:sz w:val="24"/>
          <w:szCs w:val="24"/>
        </w:rPr>
        <w:t xml:space="preserve"> </w:t>
      </w:r>
      <w:r>
        <w:rPr>
          <w:rFonts w:ascii="宋体" w:hAnsi="宋体" w:eastAsia="宋体" w:cs="宋体"/>
          <w:b/>
          <w:bCs/>
          <w:spacing w:val="-8"/>
          <w:sz w:val="24"/>
          <w:szCs w:val="24"/>
        </w:rPr>
        <w:t>、技术指标</w:t>
      </w:r>
    </w:p>
    <w:p>
      <w:pPr>
        <w:spacing w:before="66"/>
      </w:pPr>
    </w:p>
    <w:tbl>
      <w:tblPr>
        <w:tblStyle w:val="8"/>
        <w:tblW w:w="88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6"/>
        <w:gridCol w:w="2222"/>
        <w:gridCol w:w="1634"/>
        <w:gridCol w:w="1559"/>
        <w:gridCol w:w="1349"/>
        <w:gridCol w:w="11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3168" w:type="dxa"/>
            <w:gridSpan w:val="2"/>
            <w:vAlign w:val="top"/>
          </w:tcPr>
          <w:p>
            <w:pPr>
              <w:spacing w:before="104" w:line="220" w:lineRule="auto"/>
              <w:ind w:left="1420"/>
              <w:rPr>
                <w:rFonts w:ascii="宋体" w:hAnsi="宋体" w:eastAsia="宋体" w:cs="宋体"/>
                <w:sz w:val="18"/>
                <w:szCs w:val="18"/>
              </w:rPr>
            </w:pPr>
            <w:r>
              <w:rPr>
                <w:rFonts w:ascii="宋体" w:hAnsi="宋体" w:eastAsia="宋体" w:cs="宋体"/>
                <w:b/>
                <w:bCs/>
                <w:spacing w:val="-7"/>
                <w:sz w:val="18"/>
                <w:szCs w:val="18"/>
              </w:rPr>
              <w:t>项目</w:t>
            </w:r>
          </w:p>
        </w:tc>
        <w:tc>
          <w:tcPr>
            <w:tcW w:w="1634" w:type="dxa"/>
            <w:vAlign w:val="top"/>
          </w:tcPr>
          <w:p>
            <w:pPr>
              <w:spacing w:before="105" w:line="219" w:lineRule="auto"/>
              <w:ind w:left="561"/>
              <w:rPr>
                <w:rFonts w:ascii="宋体" w:hAnsi="宋体" w:eastAsia="宋体" w:cs="宋体"/>
                <w:sz w:val="18"/>
                <w:szCs w:val="18"/>
              </w:rPr>
            </w:pPr>
            <w:r>
              <w:rPr>
                <w:rFonts w:ascii="宋体" w:hAnsi="宋体" w:eastAsia="宋体" w:cs="宋体"/>
                <w:b/>
                <w:bCs/>
                <w:spacing w:val="-6"/>
                <w:sz w:val="18"/>
                <w:szCs w:val="18"/>
              </w:rPr>
              <w:t>标准值</w:t>
            </w:r>
          </w:p>
        </w:tc>
        <w:tc>
          <w:tcPr>
            <w:tcW w:w="1559" w:type="dxa"/>
            <w:vAlign w:val="top"/>
          </w:tcPr>
          <w:p>
            <w:pPr>
              <w:spacing w:before="104" w:line="219" w:lineRule="auto"/>
              <w:ind w:left="523"/>
              <w:rPr>
                <w:rFonts w:ascii="宋体" w:hAnsi="宋体" w:eastAsia="宋体" w:cs="宋体"/>
                <w:sz w:val="18"/>
                <w:szCs w:val="18"/>
              </w:rPr>
            </w:pPr>
            <w:r>
              <w:rPr>
                <w:rFonts w:ascii="宋体" w:hAnsi="宋体" w:eastAsia="宋体" w:cs="宋体"/>
                <w:b/>
                <w:bCs/>
                <w:spacing w:val="-6"/>
                <w:sz w:val="18"/>
                <w:szCs w:val="18"/>
              </w:rPr>
              <w:t>退货值</w:t>
            </w:r>
          </w:p>
        </w:tc>
        <w:tc>
          <w:tcPr>
            <w:tcW w:w="1349" w:type="dxa"/>
            <w:vAlign w:val="top"/>
          </w:tcPr>
          <w:p>
            <w:pPr>
              <w:spacing w:before="105" w:line="219" w:lineRule="auto"/>
              <w:ind w:left="329"/>
              <w:rPr>
                <w:rFonts w:ascii="宋体" w:hAnsi="宋体" w:eastAsia="宋体" w:cs="宋体"/>
                <w:sz w:val="18"/>
                <w:szCs w:val="18"/>
              </w:rPr>
            </w:pPr>
            <w:r>
              <w:rPr>
                <w:rFonts w:ascii="宋体" w:hAnsi="宋体" w:eastAsia="宋体" w:cs="宋体"/>
                <w:b/>
                <w:bCs/>
                <w:spacing w:val="-5"/>
                <w:sz w:val="18"/>
                <w:szCs w:val="18"/>
              </w:rPr>
              <w:t>检测要求</w:t>
            </w:r>
          </w:p>
        </w:tc>
        <w:tc>
          <w:tcPr>
            <w:tcW w:w="1121" w:type="dxa"/>
            <w:vAlign w:val="top"/>
          </w:tcPr>
          <w:p>
            <w:pPr>
              <w:spacing w:before="104" w:line="221" w:lineRule="auto"/>
              <w:ind w:left="396"/>
              <w:rPr>
                <w:rFonts w:ascii="宋体" w:hAnsi="宋体" w:eastAsia="宋体" w:cs="宋体"/>
                <w:sz w:val="18"/>
                <w:szCs w:val="18"/>
              </w:rPr>
            </w:pPr>
            <w:r>
              <w:rPr>
                <w:rFonts w:ascii="宋体" w:hAnsi="宋体" w:eastAsia="宋体" w:cs="宋体"/>
                <w:b/>
                <w:bCs/>
                <w:spacing w:val="-7"/>
                <w:sz w:val="18"/>
                <w:szCs w:val="1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46" w:type="dxa"/>
            <w:vMerge w:val="restart"/>
            <w:tcBorders>
              <w:bottom w:val="nil"/>
            </w:tcBorders>
            <w:vAlign w:val="top"/>
          </w:tcPr>
          <w:p>
            <w:pPr>
              <w:pStyle w:val="10"/>
              <w:spacing w:line="293" w:lineRule="auto"/>
            </w:pPr>
          </w:p>
          <w:p>
            <w:pPr>
              <w:spacing w:before="59" w:line="220" w:lineRule="auto"/>
              <w:ind w:left="122"/>
              <w:rPr>
                <w:rFonts w:ascii="宋体" w:hAnsi="宋体" w:eastAsia="宋体" w:cs="宋体"/>
                <w:sz w:val="18"/>
                <w:szCs w:val="18"/>
              </w:rPr>
            </w:pPr>
            <w:r>
              <w:rPr>
                <w:rFonts w:ascii="宋体" w:hAnsi="宋体" w:eastAsia="宋体" w:cs="宋体"/>
                <w:spacing w:val="-4"/>
                <w:sz w:val="18"/>
                <w:szCs w:val="18"/>
              </w:rPr>
              <w:t>风险指标</w:t>
            </w:r>
          </w:p>
        </w:tc>
        <w:tc>
          <w:tcPr>
            <w:tcW w:w="2222" w:type="dxa"/>
            <w:vAlign w:val="top"/>
          </w:tcPr>
          <w:p>
            <w:pPr>
              <w:spacing w:before="142" w:line="210" w:lineRule="auto"/>
              <w:ind w:left="113"/>
              <w:rPr>
                <w:rFonts w:ascii="宋体" w:hAnsi="宋体" w:eastAsia="宋体" w:cs="宋体"/>
                <w:sz w:val="18"/>
                <w:szCs w:val="18"/>
              </w:rPr>
            </w:pPr>
            <w:r>
              <w:rPr>
                <w:rFonts w:ascii="宋体" w:hAnsi="宋体" w:eastAsia="宋体" w:cs="宋体"/>
                <w:spacing w:val="-2"/>
                <w:sz w:val="18"/>
                <w:szCs w:val="18"/>
              </w:rPr>
              <w:t>黄曲霉毒素</w:t>
            </w:r>
            <w:r>
              <w:rPr>
                <w:rFonts w:ascii="Times New Roman" w:hAnsi="Times New Roman" w:eastAsia="Times New Roman" w:cs="Times New Roman"/>
                <w:spacing w:val="-2"/>
                <w:sz w:val="18"/>
                <w:szCs w:val="18"/>
              </w:rPr>
              <w:t>B</w:t>
            </w:r>
            <w:r>
              <w:rPr>
                <w:rFonts w:ascii="Times New Roman" w:hAnsi="Times New Roman" w:eastAsia="Times New Roman" w:cs="Times New Roman"/>
                <w:spacing w:val="-2"/>
                <w:position w:val="-1"/>
                <w:sz w:val="8"/>
                <w:szCs w:val="8"/>
              </w:rPr>
              <w:t xml:space="preserve">1     </w:t>
            </w:r>
            <w:r>
              <w:rPr>
                <w:rFonts w:ascii="宋体" w:hAnsi="宋体" w:eastAsia="宋体" w:cs="宋体"/>
                <w:spacing w:val="-2"/>
                <w:sz w:val="18"/>
                <w:szCs w:val="18"/>
              </w:rPr>
              <w:t>(</w:t>
            </w:r>
            <w:r>
              <w:rPr>
                <w:rFonts w:ascii="Times New Roman" w:hAnsi="Times New Roman" w:eastAsia="Times New Roman" w:cs="Times New Roman"/>
                <w:spacing w:val="-2"/>
                <w:sz w:val="18"/>
                <w:szCs w:val="18"/>
              </w:rPr>
              <w:t>μ</w:t>
            </w:r>
            <w:r>
              <w:rPr>
                <w:rFonts w:ascii="宋体" w:hAnsi="宋体" w:eastAsia="宋体" w:cs="宋体"/>
                <w:spacing w:val="-2"/>
                <w:sz w:val="18"/>
                <w:szCs w:val="18"/>
              </w:rPr>
              <w:t>g/kg）</w:t>
            </w:r>
          </w:p>
        </w:tc>
        <w:tc>
          <w:tcPr>
            <w:tcW w:w="1634" w:type="dxa"/>
            <w:vAlign w:val="top"/>
          </w:tcPr>
          <w:p>
            <w:pPr>
              <w:spacing w:before="142" w:line="236" w:lineRule="auto"/>
              <w:ind w:left="708"/>
              <w:rPr>
                <w:rFonts w:ascii="Times New Roman" w:hAnsi="Times New Roman" w:eastAsia="Times New Roman" w:cs="Times New Roman"/>
                <w:sz w:val="18"/>
                <w:szCs w:val="18"/>
              </w:rPr>
            </w:pPr>
            <w:r>
              <w:rPr>
                <w:rFonts w:ascii="宋体" w:hAnsi="宋体" w:eastAsia="宋体" w:cs="宋体"/>
                <w:spacing w:val="-10"/>
                <w:sz w:val="18"/>
                <w:szCs w:val="18"/>
              </w:rPr>
              <w:t>≤</w:t>
            </w:r>
            <w:r>
              <w:rPr>
                <w:rFonts w:ascii="Times New Roman" w:hAnsi="Times New Roman" w:eastAsia="Times New Roman" w:cs="Times New Roman"/>
                <w:spacing w:val="-10"/>
                <w:sz w:val="18"/>
                <w:szCs w:val="18"/>
              </w:rPr>
              <w:t>5</w:t>
            </w:r>
          </w:p>
        </w:tc>
        <w:tc>
          <w:tcPr>
            <w:tcW w:w="1559" w:type="dxa"/>
            <w:vAlign w:val="top"/>
          </w:tcPr>
          <w:p>
            <w:pPr>
              <w:spacing w:before="142" w:line="236" w:lineRule="auto"/>
              <w:ind w:left="676"/>
              <w:rPr>
                <w:rFonts w:ascii="Times New Roman" w:hAnsi="Times New Roman" w:eastAsia="Times New Roman" w:cs="Times New Roman"/>
                <w:sz w:val="18"/>
                <w:szCs w:val="18"/>
              </w:rPr>
            </w:pPr>
            <w:r>
              <w:rPr>
                <w:rFonts w:ascii="宋体" w:hAnsi="宋体" w:eastAsia="宋体" w:cs="宋体"/>
                <w:spacing w:val="20"/>
                <w:w w:val="112"/>
                <w:sz w:val="18"/>
                <w:szCs w:val="18"/>
              </w:rPr>
              <w:t>&gt;</w:t>
            </w:r>
            <w:r>
              <w:rPr>
                <w:rFonts w:ascii="Times New Roman" w:hAnsi="Times New Roman" w:eastAsia="Times New Roman" w:cs="Times New Roman"/>
                <w:spacing w:val="20"/>
                <w:w w:val="112"/>
                <w:sz w:val="18"/>
                <w:szCs w:val="18"/>
              </w:rPr>
              <w:t>5</w:t>
            </w:r>
          </w:p>
        </w:tc>
        <w:tc>
          <w:tcPr>
            <w:tcW w:w="1349" w:type="dxa"/>
            <w:vAlign w:val="top"/>
          </w:tcPr>
          <w:p>
            <w:pPr>
              <w:spacing w:before="143"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121" w:type="dxa"/>
            <w:vAlign w:val="top"/>
          </w:tcPr>
          <w:p>
            <w:pPr>
              <w:spacing w:before="227" w:line="122" w:lineRule="exact"/>
              <w:ind w:left="522"/>
              <w:rPr>
                <w:rFonts w:ascii="宋体" w:hAnsi="宋体" w:eastAsia="宋体" w:cs="宋体"/>
                <w:sz w:val="18"/>
                <w:szCs w:val="18"/>
              </w:rPr>
            </w:pPr>
            <w:r>
              <w:rPr>
                <w:rFonts w:ascii="宋体" w:hAnsi="宋体" w:eastAsia="宋体" w:cs="宋体"/>
                <w:position w:val="-3"/>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46" w:type="dxa"/>
            <w:vMerge w:val="continue"/>
            <w:tcBorders>
              <w:top w:val="nil"/>
            </w:tcBorders>
            <w:vAlign w:val="top"/>
          </w:tcPr>
          <w:p>
            <w:pPr>
              <w:pStyle w:val="10"/>
            </w:pPr>
          </w:p>
        </w:tc>
        <w:tc>
          <w:tcPr>
            <w:tcW w:w="2222" w:type="dxa"/>
            <w:vAlign w:val="top"/>
          </w:tcPr>
          <w:p>
            <w:pPr>
              <w:spacing w:before="142" w:line="219" w:lineRule="auto"/>
              <w:ind w:left="116"/>
              <w:rPr>
                <w:rFonts w:ascii="宋体" w:hAnsi="宋体" w:eastAsia="宋体" w:cs="宋体"/>
                <w:sz w:val="18"/>
                <w:szCs w:val="18"/>
              </w:rPr>
            </w:pPr>
            <w:r>
              <w:rPr>
                <w:rFonts w:ascii="宋体" w:hAnsi="宋体" w:eastAsia="宋体" w:cs="宋体"/>
                <w:spacing w:val="-4"/>
                <w:sz w:val="18"/>
                <w:szCs w:val="18"/>
              </w:rPr>
              <w:t>水分（</w:t>
            </w:r>
            <w:r>
              <w:rPr>
                <w:rFonts w:ascii="Times New Roman" w:hAnsi="Times New Roman" w:eastAsia="Times New Roman" w:cs="Times New Roman"/>
                <w:spacing w:val="-4"/>
                <w:sz w:val="18"/>
                <w:szCs w:val="18"/>
              </w:rPr>
              <w:t>%</w:t>
            </w:r>
            <w:r>
              <w:rPr>
                <w:rFonts w:ascii="宋体" w:hAnsi="宋体" w:eastAsia="宋体" w:cs="宋体"/>
                <w:spacing w:val="-4"/>
                <w:sz w:val="18"/>
                <w:szCs w:val="18"/>
              </w:rPr>
              <w:t>）</w:t>
            </w:r>
          </w:p>
        </w:tc>
        <w:tc>
          <w:tcPr>
            <w:tcW w:w="1634" w:type="dxa"/>
            <w:vAlign w:val="top"/>
          </w:tcPr>
          <w:p>
            <w:pPr>
              <w:spacing w:before="141"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13.0</w:t>
            </w:r>
          </w:p>
        </w:tc>
        <w:tc>
          <w:tcPr>
            <w:tcW w:w="1559" w:type="dxa"/>
            <w:vAlign w:val="top"/>
          </w:tcPr>
          <w:p>
            <w:pPr>
              <w:spacing w:before="141"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15.0</w:t>
            </w:r>
          </w:p>
        </w:tc>
        <w:tc>
          <w:tcPr>
            <w:tcW w:w="1349" w:type="dxa"/>
            <w:vAlign w:val="top"/>
          </w:tcPr>
          <w:p>
            <w:pPr>
              <w:spacing w:before="142"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121" w:type="dxa"/>
            <w:vAlign w:val="top"/>
          </w:tcPr>
          <w:p>
            <w:pPr>
              <w:spacing w:before="227" w:line="122" w:lineRule="exact"/>
              <w:ind w:left="522"/>
              <w:rPr>
                <w:rFonts w:ascii="宋体" w:hAnsi="宋体" w:eastAsia="宋体" w:cs="宋体"/>
                <w:sz w:val="18"/>
                <w:szCs w:val="18"/>
              </w:rPr>
            </w:pPr>
            <w:r>
              <w:rPr>
                <w:rFonts w:ascii="宋体" w:hAnsi="宋体" w:eastAsia="宋体" w:cs="宋体"/>
                <w:position w:val="-3"/>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46" w:type="dxa"/>
            <w:vMerge w:val="restart"/>
            <w:tcBorders>
              <w:bottom w:val="nil"/>
            </w:tcBorders>
            <w:vAlign w:val="top"/>
          </w:tcPr>
          <w:p>
            <w:pPr>
              <w:pStyle w:val="10"/>
              <w:spacing w:line="259" w:lineRule="auto"/>
            </w:pPr>
          </w:p>
          <w:p>
            <w:pPr>
              <w:pStyle w:val="10"/>
              <w:spacing w:line="260" w:lineRule="auto"/>
            </w:pPr>
          </w:p>
          <w:p>
            <w:pPr>
              <w:spacing w:before="58" w:line="220" w:lineRule="auto"/>
              <w:ind w:left="123"/>
              <w:rPr>
                <w:rFonts w:ascii="宋体" w:hAnsi="宋体" w:eastAsia="宋体" w:cs="宋体"/>
                <w:sz w:val="18"/>
                <w:szCs w:val="18"/>
              </w:rPr>
            </w:pPr>
            <w:r>
              <w:rPr>
                <w:rFonts w:ascii="宋体" w:hAnsi="宋体" w:eastAsia="宋体" w:cs="宋体"/>
                <w:spacing w:val="-5"/>
                <w:sz w:val="18"/>
                <w:szCs w:val="18"/>
              </w:rPr>
              <w:t>理化指标</w:t>
            </w:r>
          </w:p>
        </w:tc>
        <w:tc>
          <w:tcPr>
            <w:tcW w:w="2222" w:type="dxa"/>
            <w:vAlign w:val="top"/>
          </w:tcPr>
          <w:p>
            <w:pPr>
              <w:spacing w:before="144" w:line="219" w:lineRule="auto"/>
              <w:ind w:left="114"/>
              <w:rPr>
                <w:rFonts w:ascii="宋体" w:hAnsi="宋体" w:eastAsia="宋体" w:cs="宋体"/>
                <w:sz w:val="18"/>
                <w:szCs w:val="18"/>
              </w:rPr>
            </w:pPr>
            <w:r>
              <w:rPr>
                <w:rFonts w:ascii="宋体" w:hAnsi="宋体" w:eastAsia="宋体" w:cs="宋体"/>
                <w:spacing w:val="-3"/>
                <w:sz w:val="18"/>
                <w:szCs w:val="18"/>
              </w:rPr>
              <w:t>粗灰分（</w:t>
            </w:r>
            <w:r>
              <w:rPr>
                <w:rFonts w:ascii="Times New Roman" w:hAnsi="Times New Roman" w:eastAsia="Times New Roman" w:cs="Times New Roman"/>
                <w:spacing w:val="-3"/>
                <w:sz w:val="18"/>
                <w:szCs w:val="18"/>
              </w:rPr>
              <w:t>%</w:t>
            </w:r>
            <w:r>
              <w:rPr>
                <w:rFonts w:ascii="宋体" w:hAnsi="宋体" w:eastAsia="宋体" w:cs="宋体"/>
                <w:spacing w:val="-3"/>
                <w:sz w:val="18"/>
                <w:szCs w:val="18"/>
              </w:rPr>
              <w:t>）</w:t>
            </w:r>
          </w:p>
        </w:tc>
        <w:tc>
          <w:tcPr>
            <w:tcW w:w="1634" w:type="dxa"/>
            <w:vAlign w:val="top"/>
          </w:tcPr>
          <w:p>
            <w:pPr>
              <w:spacing w:before="143"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12.5</w:t>
            </w:r>
          </w:p>
        </w:tc>
        <w:tc>
          <w:tcPr>
            <w:tcW w:w="1559" w:type="dxa"/>
            <w:vAlign w:val="top"/>
          </w:tcPr>
          <w:p>
            <w:pPr>
              <w:spacing w:before="143"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14.0</w:t>
            </w:r>
          </w:p>
        </w:tc>
        <w:tc>
          <w:tcPr>
            <w:tcW w:w="1349" w:type="dxa"/>
            <w:vAlign w:val="top"/>
          </w:tcPr>
          <w:p>
            <w:pPr>
              <w:spacing w:before="144"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121" w:type="dxa"/>
            <w:vAlign w:val="top"/>
          </w:tcPr>
          <w:p>
            <w:pPr>
              <w:spacing w:before="143" w:line="219" w:lineRule="auto"/>
              <w:ind w:left="393"/>
              <w:rPr>
                <w:rFonts w:ascii="宋体" w:hAnsi="宋体" w:eastAsia="宋体" w:cs="宋体"/>
                <w:sz w:val="18"/>
                <w:szCs w:val="18"/>
              </w:rPr>
            </w:pPr>
            <w:r>
              <w:rPr>
                <w:rFonts w:ascii="宋体" w:hAnsi="宋体" w:eastAsia="宋体" w:cs="宋体"/>
                <w:spacing w:val="-4"/>
                <w:sz w:val="18"/>
                <w:szCs w:val="18"/>
              </w:rPr>
              <w:t>干基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946" w:type="dxa"/>
            <w:vMerge w:val="continue"/>
            <w:tcBorders>
              <w:top w:val="nil"/>
              <w:bottom w:val="nil"/>
            </w:tcBorders>
            <w:vAlign w:val="top"/>
          </w:tcPr>
          <w:p>
            <w:pPr>
              <w:pStyle w:val="10"/>
            </w:pPr>
          </w:p>
        </w:tc>
        <w:tc>
          <w:tcPr>
            <w:tcW w:w="2222" w:type="dxa"/>
            <w:vAlign w:val="top"/>
          </w:tcPr>
          <w:p>
            <w:pPr>
              <w:spacing w:before="151" w:line="232" w:lineRule="auto"/>
              <w:ind w:left="105"/>
              <w:rPr>
                <w:rFonts w:ascii="宋体" w:hAnsi="宋体" w:eastAsia="宋体" w:cs="宋体"/>
                <w:sz w:val="18"/>
                <w:szCs w:val="18"/>
              </w:rPr>
            </w:pPr>
            <w:r>
              <w:rPr>
                <w:rFonts w:ascii="Times New Roman" w:hAnsi="Times New Roman" w:eastAsia="Times New Roman" w:cs="Times New Roman"/>
                <w:spacing w:val="-2"/>
                <w:sz w:val="18"/>
                <w:szCs w:val="18"/>
              </w:rPr>
              <w:t>NDF</w:t>
            </w:r>
            <w:r>
              <w:rPr>
                <w:rFonts w:ascii="宋体" w:hAnsi="宋体" w:eastAsia="宋体" w:cs="宋体"/>
                <w:spacing w:val="-2"/>
                <w:sz w:val="18"/>
                <w:szCs w:val="18"/>
              </w:rPr>
              <w:t>（</w:t>
            </w:r>
            <w:r>
              <w:rPr>
                <w:rFonts w:ascii="Times New Roman" w:hAnsi="Times New Roman" w:eastAsia="Times New Roman" w:cs="Times New Roman"/>
                <w:spacing w:val="-2"/>
                <w:sz w:val="18"/>
                <w:szCs w:val="18"/>
              </w:rPr>
              <w:t>%</w:t>
            </w:r>
            <w:r>
              <w:rPr>
                <w:rFonts w:ascii="宋体" w:hAnsi="宋体" w:eastAsia="宋体" w:cs="宋体"/>
                <w:spacing w:val="-2"/>
                <w:sz w:val="18"/>
                <w:szCs w:val="18"/>
              </w:rPr>
              <w:t>）</w:t>
            </w:r>
          </w:p>
        </w:tc>
        <w:tc>
          <w:tcPr>
            <w:tcW w:w="1634" w:type="dxa"/>
            <w:vAlign w:val="top"/>
          </w:tcPr>
          <w:p>
            <w:pPr>
              <w:spacing w:before="151"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57.0</w:t>
            </w:r>
          </w:p>
        </w:tc>
        <w:tc>
          <w:tcPr>
            <w:tcW w:w="1559" w:type="dxa"/>
            <w:vAlign w:val="top"/>
          </w:tcPr>
          <w:p>
            <w:pPr>
              <w:spacing w:before="151"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65.0</w:t>
            </w:r>
          </w:p>
        </w:tc>
        <w:tc>
          <w:tcPr>
            <w:tcW w:w="1349" w:type="dxa"/>
            <w:vAlign w:val="top"/>
          </w:tcPr>
          <w:p>
            <w:pPr>
              <w:spacing w:before="152"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121" w:type="dxa"/>
            <w:vAlign w:val="top"/>
          </w:tcPr>
          <w:p>
            <w:pPr>
              <w:spacing w:before="151" w:line="219" w:lineRule="auto"/>
              <w:ind w:left="393"/>
              <w:rPr>
                <w:rFonts w:ascii="宋体" w:hAnsi="宋体" w:eastAsia="宋体" w:cs="宋体"/>
                <w:sz w:val="18"/>
                <w:szCs w:val="18"/>
              </w:rPr>
            </w:pPr>
            <w:r>
              <w:rPr>
                <w:rFonts w:ascii="宋体" w:hAnsi="宋体" w:eastAsia="宋体" w:cs="宋体"/>
                <w:spacing w:val="-4"/>
                <w:sz w:val="18"/>
                <w:szCs w:val="18"/>
              </w:rPr>
              <w:t>干基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46" w:type="dxa"/>
            <w:vMerge w:val="continue"/>
            <w:tcBorders>
              <w:top w:val="nil"/>
            </w:tcBorders>
            <w:vAlign w:val="top"/>
          </w:tcPr>
          <w:p>
            <w:pPr>
              <w:pStyle w:val="10"/>
            </w:pPr>
          </w:p>
        </w:tc>
        <w:tc>
          <w:tcPr>
            <w:tcW w:w="2222" w:type="dxa"/>
            <w:vAlign w:val="top"/>
          </w:tcPr>
          <w:p>
            <w:pPr>
              <w:spacing w:before="152" w:line="232" w:lineRule="auto"/>
              <w:ind w:left="108"/>
              <w:rPr>
                <w:rFonts w:ascii="宋体" w:hAnsi="宋体" w:eastAsia="宋体" w:cs="宋体"/>
                <w:sz w:val="18"/>
                <w:szCs w:val="18"/>
              </w:rPr>
            </w:pPr>
            <w:r>
              <w:rPr>
                <w:rFonts w:ascii="Times New Roman" w:hAnsi="Times New Roman" w:eastAsia="Times New Roman" w:cs="Times New Roman"/>
                <w:spacing w:val="-2"/>
                <w:sz w:val="18"/>
                <w:szCs w:val="18"/>
              </w:rPr>
              <w:t>ADF</w:t>
            </w:r>
            <w:r>
              <w:rPr>
                <w:rFonts w:ascii="宋体" w:hAnsi="宋体" w:eastAsia="宋体" w:cs="宋体"/>
                <w:spacing w:val="-2"/>
                <w:sz w:val="18"/>
                <w:szCs w:val="18"/>
              </w:rPr>
              <w:t>（</w:t>
            </w:r>
            <w:r>
              <w:rPr>
                <w:rFonts w:ascii="Times New Roman" w:hAnsi="Times New Roman" w:eastAsia="Times New Roman" w:cs="Times New Roman"/>
                <w:spacing w:val="-2"/>
                <w:sz w:val="18"/>
                <w:szCs w:val="18"/>
              </w:rPr>
              <w:t>%</w:t>
            </w:r>
            <w:r>
              <w:rPr>
                <w:rFonts w:ascii="宋体" w:hAnsi="宋体" w:eastAsia="宋体" w:cs="宋体"/>
                <w:spacing w:val="-2"/>
                <w:sz w:val="18"/>
                <w:szCs w:val="18"/>
              </w:rPr>
              <w:t>）</w:t>
            </w:r>
          </w:p>
        </w:tc>
        <w:tc>
          <w:tcPr>
            <w:tcW w:w="1634" w:type="dxa"/>
            <w:vAlign w:val="top"/>
          </w:tcPr>
          <w:p>
            <w:pPr>
              <w:spacing w:before="152"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35.0</w:t>
            </w:r>
          </w:p>
        </w:tc>
        <w:tc>
          <w:tcPr>
            <w:tcW w:w="1559" w:type="dxa"/>
            <w:vAlign w:val="top"/>
          </w:tcPr>
          <w:p>
            <w:pPr>
              <w:spacing w:before="152"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43.0</w:t>
            </w:r>
          </w:p>
        </w:tc>
        <w:tc>
          <w:tcPr>
            <w:tcW w:w="1349" w:type="dxa"/>
            <w:vAlign w:val="top"/>
          </w:tcPr>
          <w:p>
            <w:pPr>
              <w:spacing w:before="153"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121" w:type="dxa"/>
            <w:vAlign w:val="top"/>
          </w:tcPr>
          <w:p>
            <w:pPr>
              <w:spacing w:before="153" w:line="219" w:lineRule="auto"/>
              <w:ind w:left="393"/>
              <w:rPr>
                <w:rFonts w:ascii="宋体" w:hAnsi="宋体" w:eastAsia="宋体" w:cs="宋体"/>
                <w:sz w:val="18"/>
                <w:szCs w:val="18"/>
              </w:rPr>
            </w:pPr>
            <w:r>
              <w:rPr>
                <w:rFonts w:ascii="宋体" w:hAnsi="宋体" w:eastAsia="宋体" w:cs="宋体"/>
                <w:spacing w:val="-4"/>
                <w:sz w:val="18"/>
                <w:szCs w:val="18"/>
              </w:rPr>
              <w:t>干基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46" w:type="dxa"/>
            <w:vAlign w:val="top"/>
          </w:tcPr>
          <w:p>
            <w:pPr>
              <w:spacing w:before="206" w:line="220" w:lineRule="auto"/>
              <w:ind w:left="120"/>
              <w:rPr>
                <w:rFonts w:ascii="宋体" w:hAnsi="宋体" w:eastAsia="宋体" w:cs="宋体"/>
                <w:sz w:val="18"/>
                <w:szCs w:val="18"/>
              </w:rPr>
            </w:pPr>
            <w:r>
              <w:rPr>
                <w:rFonts w:ascii="宋体" w:hAnsi="宋体" w:eastAsia="宋体" w:cs="宋体"/>
                <w:spacing w:val="-4"/>
                <w:sz w:val="18"/>
                <w:szCs w:val="18"/>
              </w:rPr>
              <w:t>卫生指标</w:t>
            </w:r>
          </w:p>
        </w:tc>
        <w:tc>
          <w:tcPr>
            <w:tcW w:w="7885" w:type="dxa"/>
            <w:gridSpan w:val="5"/>
            <w:vAlign w:val="top"/>
          </w:tcPr>
          <w:p>
            <w:pPr>
              <w:spacing w:before="211" w:line="219" w:lineRule="auto"/>
              <w:ind w:left="2553"/>
              <w:rPr>
                <w:rFonts w:ascii="宋体" w:hAnsi="宋体" w:eastAsia="宋体" w:cs="宋体"/>
                <w:sz w:val="18"/>
                <w:szCs w:val="18"/>
              </w:rPr>
            </w:pPr>
            <w:r>
              <w:rPr>
                <w:rFonts w:ascii="宋体" w:hAnsi="宋体" w:eastAsia="宋体" w:cs="宋体"/>
                <w:spacing w:val="-1"/>
                <w:sz w:val="18"/>
                <w:szCs w:val="18"/>
              </w:rPr>
              <w:t>其他符合</w:t>
            </w:r>
            <w:r>
              <w:rPr>
                <w:rFonts w:ascii="宋体" w:hAnsi="宋体" w:eastAsia="宋体" w:cs="宋体"/>
                <w:spacing w:val="-22"/>
                <w:sz w:val="18"/>
                <w:szCs w:val="18"/>
              </w:rPr>
              <w:t xml:space="preserve"> </w:t>
            </w:r>
            <w:r>
              <w:rPr>
                <w:rFonts w:ascii="Times New Roman" w:hAnsi="Times New Roman" w:eastAsia="Times New Roman" w:cs="Times New Roman"/>
                <w:spacing w:val="-1"/>
                <w:sz w:val="18"/>
                <w:szCs w:val="18"/>
              </w:rPr>
              <w:t xml:space="preserve">GB/T13078-2017 </w:t>
            </w:r>
            <w:r>
              <w:rPr>
                <w:rFonts w:ascii="宋体" w:hAnsi="宋体" w:eastAsia="宋体" w:cs="宋体"/>
                <w:spacing w:val="-1"/>
                <w:sz w:val="18"/>
                <w:szCs w:val="18"/>
              </w:rPr>
              <w:t>规定</w:t>
            </w:r>
            <w:r>
              <w:rPr>
                <w:rFonts w:ascii="宋体" w:hAnsi="宋体" w:eastAsia="宋体" w:cs="宋体"/>
                <w:spacing w:val="-2"/>
                <w:sz w:val="18"/>
                <w:szCs w:val="18"/>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831" w:type="dxa"/>
            <w:gridSpan w:val="6"/>
            <w:vAlign w:val="top"/>
          </w:tcPr>
          <w:p>
            <w:pPr>
              <w:spacing w:before="73" w:line="270" w:lineRule="auto"/>
              <w:ind w:left="475" w:right="1587" w:hanging="356"/>
              <w:rPr>
                <w:rFonts w:ascii="宋体" w:hAnsi="宋体" w:eastAsia="宋体" w:cs="宋体"/>
                <w:sz w:val="18"/>
                <w:szCs w:val="18"/>
              </w:rPr>
            </w:pPr>
            <w:r>
              <w:rPr>
                <w:rFonts w:ascii="宋体" w:hAnsi="宋体" w:eastAsia="宋体" w:cs="宋体"/>
                <w:spacing w:val="-5"/>
                <w:sz w:val="18"/>
                <w:szCs w:val="18"/>
              </w:rPr>
              <w:t>注：</w:t>
            </w:r>
            <w:r>
              <w:rPr>
                <w:rFonts w:ascii="Times New Roman" w:hAnsi="Times New Roman" w:eastAsia="Times New Roman" w:cs="Times New Roman"/>
                <w:spacing w:val="-5"/>
                <w:sz w:val="18"/>
                <w:szCs w:val="18"/>
              </w:rPr>
              <w:t>1</w:t>
            </w:r>
            <w:r>
              <w:rPr>
                <w:rFonts w:ascii="Times New Roman" w:hAnsi="Times New Roman" w:eastAsia="Times New Roman" w:cs="Times New Roman"/>
                <w:spacing w:val="-12"/>
                <w:sz w:val="18"/>
                <w:szCs w:val="18"/>
              </w:rPr>
              <w:t xml:space="preserve"> </w:t>
            </w:r>
            <w:r>
              <w:rPr>
                <w:rFonts w:ascii="宋体" w:hAnsi="宋体" w:eastAsia="宋体" w:cs="宋体"/>
                <w:spacing w:val="-5"/>
                <w:sz w:val="18"/>
                <w:szCs w:val="18"/>
              </w:rPr>
              <w:t>、燕麦草中不得添加非蛋白氮、抗氧化剂、防霉剂等有害物质，否则将追究法律责任；</w:t>
            </w:r>
            <w:r>
              <w:rPr>
                <w:rFonts w:ascii="宋体" w:hAnsi="宋体" w:eastAsia="宋体" w:cs="宋体"/>
                <w:sz w:val="18"/>
                <w:szCs w:val="18"/>
              </w:rPr>
              <w:t xml:space="preserve"> </w:t>
            </w:r>
            <w:r>
              <w:rPr>
                <w:rFonts w:ascii="Times New Roman" w:hAnsi="Times New Roman" w:eastAsia="Times New Roman" w:cs="Times New Roman"/>
                <w:spacing w:val="-3"/>
                <w:sz w:val="18"/>
                <w:szCs w:val="18"/>
              </w:rPr>
              <w:t>2</w:t>
            </w:r>
            <w:r>
              <w:rPr>
                <w:rFonts w:ascii="宋体" w:hAnsi="宋体" w:eastAsia="宋体" w:cs="宋体"/>
                <w:spacing w:val="-3"/>
                <w:sz w:val="18"/>
                <w:szCs w:val="18"/>
              </w:rPr>
              <w:t>、风险指标和卫生指标不合格，拒收处置。</w:t>
            </w:r>
          </w:p>
        </w:tc>
      </w:tr>
    </w:tbl>
    <w:p>
      <w:pPr>
        <w:spacing w:line="360" w:lineRule="auto"/>
        <w:rPr>
          <w:rFonts w:hint="eastAsia" w:ascii="宋体" w:hAnsi="宋体" w:eastAsia="宋体" w:cs="宋体"/>
          <w:sz w:val="20"/>
          <w:szCs w:val="20"/>
        </w:rPr>
      </w:pPr>
      <w:r>
        <w:rPr>
          <w:rFonts w:hint="eastAsia" w:ascii="宋体" w:hAnsi="宋体" w:eastAsia="宋体" w:cs="宋体"/>
          <w:sz w:val="20"/>
          <w:szCs w:val="20"/>
          <w:lang w:val="en-US" w:eastAsia="zh-CN"/>
        </w:rPr>
        <w:t>特</w:t>
      </w:r>
      <w:r>
        <w:rPr>
          <w:rFonts w:hint="eastAsia" w:ascii="宋体" w:hAnsi="宋体" w:eastAsia="宋体" w:cs="宋体"/>
          <w:sz w:val="20"/>
          <w:szCs w:val="20"/>
        </w:rPr>
        <w:t>别备注：</w:t>
      </w:r>
    </w:p>
    <w:p>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（1）乙方供应的所有产品必须符合国家饲料生产销售管理相关法律法规；</w:t>
      </w:r>
    </w:p>
    <w:p>
      <w:pPr>
        <w:tabs>
          <w:tab w:val="left" w:pos="480"/>
        </w:tabs>
        <w:spacing w:line="360" w:lineRule="auto"/>
        <w:ind w:firstLine="400" w:firstLineChars="200"/>
        <w:rPr>
          <w:rFonts w:hint="eastAsia" w:ascii="宋体" w:hAnsi="宋体" w:eastAsia="宋体" w:cs="宋体"/>
          <w:kern w:val="1"/>
          <w:sz w:val="20"/>
          <w:szCs w:val="20"/>
        </w:rPr>
      </w:pPr>
      <w:r>
        <w:rPr>
          <w:rFonts w:hint="eastAsia" w:ascii="宋体" w:hAnsi="宋体" w:eastAsia="宋体" w:cs="宋体"/>
          <w:sz w:val="20"/>
          <w:szCs w:val="20"/>
        </w:rPr>
        <w:t>（2）乙方供应的所有产品</w:t>
      </w:r>
      <w:r>
        <w:rPr>
          <w:rFonts w:hint="eastAsia" w:ascii="宋体" w:hAnsi="宋体" w:eastAsia="宋体" w:cs="宋体"/>
          <w:kern w:val="1"/>
          <w:sz w:val="20"/>
          <w:szCs w:val="20"/>
        </w:rPr>
        <w:t>其他指标</w:t>
      </w:r>
      <w:r>
        <w:rPr>
          <w:rFonts w:hint="eastAsia" w:ascii="宋体" w:hAnsi="宋体" w:eastAsia="宋体" w:cs="宋体"/>
          <w:sz w:val="20"/>
          <w:szCs w:val="20"/>
        </w:rPr>
        <w:t>应符合国</w:t>
      </w:r>
      <w:r>
        <w:rPr>
          <w:rFonts w:hint="eastAsia" w:ascii="宋体" w:hAnsi="宋体" w:eastAsia="宋体" w:cs="宋体"/>
          <w:sz w:val="20"/>
          <w:szCs w:val="20"/>
          <w:lang w:eastAsia="zh-CN"/>
        </w:rPr>
        <w:t>家</w:t>
      </w:r>
      <w:r>
        <w:rPr>
          <w:rFonts w:hint="eastAsia" w:ascii="宋体" w:hAnsi="宋体" w:eastAsia="宋体" w:cs="宋体"/>
          <w:kern w:val="1"/>
          <w:sz w:val="20"/>
          <w:szCs w:val="20"/>
        </w:rPr>
        <w:t>标准，不含其他添加剂、有毒有害物质和食品违禁成份。</w:t>
      </w:r>
    </w:p>
    <w:p>
      <w:pPr>
        <w:ind w:firstLine="420"/>
      </w:pPr>
      <w:r>
        <w:rPr>
          <w:rFonts w:hint="eastAsia" w:ascii="宋体" w:hAnsi="宋体" w:eastAsia="宋体" w:cs="宋体"/>
          <w:sz w:val="20"/>
          <w:szCs w:val="20"/>
        </w:rPr>
        <w:t>（3）乙方供应的所有产品的外观应符合以下标准：</w:t>
      </w:r>
      <w:r>
        <w:rPr>
          <w:rFonts w:hint="eastAsia" w:ascii="宋体" w:hAnsi="宋体" w:eastAsia="宋体" w:cs="宋体"/>
          <w:kern w:val="1"/>
          <w:sz w:val="20"/>
          <w:szCs w:val="20"/>
        </w:rPr>
        <w:t>无霉变、受潮现象。</w:t>
      </w:r>
    </w:p>
    <w:p>
      <w:pPr>
        <w:spacing w:after="0"/>
        <w:rPr>
          <w:rFonts w:hint="eastAsia" w:ascii="仿宋" w:hAnsi="仿宋" w:eastAsia="仿宋" w:cs="仿宋"/>
          <w:b/>
          <w:bCs/>
          <w:sz w:val="24"/>
          <w:szCs w:val="24"/>
        </w:rPr>
      </w:pPr>
    </w:p>
    <w:p>
      <w:pPr>
        <w:spacing w:after="0"/>
        <w:rPr>
          <w:rFonts w:hint="eastAsia" w:ascii="仿宋" w:hAnsi="仿宋" w:eastAsia="仿宋" w:cs="仿宋"/>
          <w:b/>
          <w:bCs/>
          <w:sz w:val="24"/>
          <w:szCs w:val="24"/>
        </w:rPr>
      </w:pPr>
    </w:p>
    <w:p>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numPr>
          <w:ilvl w:val="0"/>
          <w:numId w:val="4"/>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pPr>
        <w:numPr>
          <w:ilvl w:val="0"/>
          <w:numId w:val="0"/>
        </w:numPr>
        <w:spacing w:before="104" w:line="213" w:lineRule="auto"/>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2024年04月 日</w:t>
            </w: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p>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F907C"/>
    <w:multiLevelType w:val="singleLevel"/>
    <w:tmpl w:val="B83F907C"/>
    <w:lvl w:ilvl="0" w:tentative="0">
      <w:start w:val="1"/>
      <w:numFmt w:val="decimal"/>
      <w:lvlText w:val="%1."/>
      <w:lvlJc w:val="left"/>
      <w:pPr>
        <w:tabs>
          <w:tab w:val="left" w:pos="312"/>
        </w:tabs>
      </w:pPr>
    </w:lvl>
  </w:abstractNum>
  <w:abstractNum w:abstractNumId="1">
    <w:nsid w:val="0ED22BC6"/>
    <w:multiLevelType w:val="singleLevel"/>
    <w:tmpl w:val="0ED22BC6"/>
    <w:lvl w:ilvl="0" w:tentative="0">
      <w:start w:val="4"/>
      <w:numFmt w:val="chineseCounting"/>
      <w:suff w:val="nothing"/>
      <w:lvlText w:val="%1、"/>
      <w:lvlJc w:val="left"/>
      <w:rPr>
        <w:rFonts w:hint="eastAsia"/>
      </w:rPr>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8925D1"/>
    <w:rsid w:val="0E197F94"/>
    <w:rsid w:val="12C84698"/>
    <w:rsid w:val="146B4B15"/>
    <w:rsid w:val="1DBB4AB2"/>
    <w:rsid w:val="21BC71C5"/>
    <w:rsid w:val="22887589"/>
    <w:rsid w:val="24822870"/>
    <w:rsid w:val="29CD5873"/>
    <w:rsid w:val="2E7314BE"/>
    <w:rsid w:val="3ED042DD"/>
    <w:rsid w:val="40081B38"/>
    <w:rsid w:val="4445400D"/>
    <w:rsid w:val="47FC0131"/>
    <w:rsid w:val="4FF24139"/>
    <w:rsid w:val="54B86364"/>
    <w:rsid w:val="56B65133"/>
    <w:rsid w:val="59270DD1"/>
    <w:rsid w:val="5E8E0063"/>
    <w:rsid w:val="631725C7"/>
    <w:rsid w:val="64104886"/>
    <w:rsid w:val="707B5D4B"/>
    <w:rsid w:val="74CC105E"/>
    <w:rsid w:val="7AF73267"/>
    <w:rsid w:val="7B5B23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 w:type="paragraph" w:customStyle="1" w:styleId="10">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1663</Words>
  <Characters>1806</Characters>
  <TotalTime>0</TotalTime>
  <ScaleCrop>false</ScaleCrop>
  <LinksUpToDate>false</LinksUpToDate>
  <CharactersWithSpaces>2809</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2024-04-10T02:21:25Z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2052-12.1.0.16388</vt:lpwstr>
  </property>
  <property fmtid="{D5CDD505-2E9C-101B-9397-08002B2CF9AE}" pid="5" name="ICV">
    <vt:lpwstr>77CD1D7219D34A3FBE89902B91329BD5_13</vt:lpwstr>
  </property>
</Properties>
</file>