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1000吨菜粕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SKY-CG-CP-20240409</w:t>
      </w:r>
      <w:bookmarkStart w:id="0" w:name="_GoBack"/>
      <w:bookmarkEnd w:id="0"/>
    </w:p>
    <w:p>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1000吨菜粕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1000吨菜粕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85"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三证合一代码证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w:t>
            </w:r>
            <w:r>
              <w:rPr>
                <w:rFonts w:hint="eastAsia" w:ascii="仿宋" w:hAnsi="仿宋" w:eastAsia="仿宋" w:cs="仿宋"/>
                <w:spacing w:val="8"/>
                <w:sz w:val="23"/>
                <w:szCs w:val="23"/>
                <w:lang w:eastAsia="zh-CN"/>
              </w:rPr>
              <w:t>（</w:t>
            </w:r>
            <w:r>
              <w:rPr>
                <w:rFonts w:ascii="仿宋" w:hAnsi="仿宋" w:eastAsia="仿宋" w:cs="仿宋"/>
                <w:spacing w:val="3"/>
                <w:sz w:val="23"/>
                <w:szCs w:val="23"/>
              </w:rPr>
              <w:t>正反复印件加盖公章</w:t>
            </w:r>
            <w:r>
              <w:rPr>
                <w:rFonts w:hint="eastAsia" w:ascii="仿宋" w:hAnsi="仿宋" w:eastAsia="仿宋" w:cs="仿宋"/>
                <w:spacing w:val="8"/>
                <w:sz w:val="23"/>
                <w:szCs w:val="23"/>
                <w:lang w:eastAsia="zh-CN"/>
              </w:rPr>
              <w:t>）</w:t>
            </w:r>
            <w:r>
              <w:rPr>
                <w:rFonts w:ascii="仿宋" w:hAnsi="仿宋" w:eastAsia="仿宋" w:cs="仿宋"/>
                <w:spacing w:val="3"/>
                <w:sz w:val="23"/>
                <w:szCs w:val="23"/>
              </w:rPr>
              <w:t xml:space="preserve"> 、被委托人身份证</w:t>
            </w:r>
            <w:r>
              <w:rPr>
                <w:rFonts w:hint="eastAsia" w:ascii="仿宋" w:hAnsi="仿宋" w:eastAsia="仿宋" w:cs="仿宋"/>
                <w:spacing w:val="3"/>
                <w:sz w:val="23"/>
                <w:szCs w:val="23"/>
                <w:lang w:eastAsia="zh-CN"/>
              </w:rPr>
              <w:t>（</w:t>
            </w:r>
            <w:r>
              <w:rPr>
                <w:rFonts w:ascii="仿宋" w:hAnsi="仿宋" w:eastAsia="仿宋" w:cs="仿宋"/>
                <w:spacing w:val="3"/>
                <w:sz w:val="23"/>
                <w:szCs w:val="23"/>
              </w:rPr>
              <w:t>正反复印件加盖公章</w:t>
            </w:r>
            <w:r>
              <w:rPr>
                <w:rFonts w:hint="eastAsia" w:ascii="仿宋" w:hAnsi="仿宋" w:eastAsia="仿宋" w:cs="仿宋"/>
                <w:spacing w:val="3"/>
                <w:sz w:val="23"/>
                <w:szCs w:val="23"/>
                <w:lang w:eastAsia="zh-CN"/>
              </w:rPr>
              <w:t>）</w:t>
            </w:r>
            <w:r>
              <w:rPr>
                <w:rFonts w:ascii="仿宋" w:hAnsi="仿宋" w:eastAsia="仿宋" w:cs="仿宋"/>
                <w:spacing w:val="3"/>
                <w:sz w:val="23"/>
                <w:szCs w:val="23"/>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hint="eastAsia" w:ascii="仿宋" w:hAnsi="仿宋" w:eastAsia="仿宋" w:cs="仿宋"/>
                <w:sz w:val="23"/>
                <w:szCs w:val="23"/>
                <w:lang w:eastAsia="zh-CN"/>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z w:val="23"/>
                <w:szCs w:val="23"/>
              </w:rPr>
              <w:t xml:space="preserve"> </w:t>
            </w:r>
            <w:r>
              <w:rPr>
                <w:rFonts w:ascii="仿宋" w:hAnsi="仿宋" w:eastAsia="仿宋" w:cs="仿宋"/>
                <w:spacing w:val="-1"/>
                <w:sz w:val="23"/>
                <w:szCs w:val="23"/>
              </w:rPr>
              <w:t>录名单</w:t>
            </w:r>
            <w:r>
              <w:rPr>
                <w:rFonts w:hint="eastAsia" w:ascii="仿宋" w:hAnsi="仿宋" w:eastAsia="仿宋" w:cs="仿宋"/>
                <w:spacing w:val="-1"/>
                <w:sz w:val="23"/>
                <w:szCs w:val="23"/>
                <w:lang w:eastAsia="zh-CN"/>
              </w:rPr>
              <w:t>（</w:t>
            </w:r>
            <w:r>
              <w:rPr>
                <w:rFonts w:ascii="仿宋" w:hAnsi="仿宋" w:eastAsia="仿宋" w:cs="仿宋"/>
                <w:spacing w:val="-1"/>
                <w:sz w:val="23"/>
                <w:szCs w:val="23"/>
              </w:rPr>
              <w:t>以在“信用中国”网站</w:t>
            </w:r>
            <w:r>
              <w:rPr>
                <w:rFonts w:hint="eastAsia" w:ascii="仿宋" w:hAnsi="仿宋" w:eastAsia="仿宋" w:cs="仿宋"/>
                <w:spacing w:val="-1"/>
                <w:sz w:val="23"/>
                <w:szCs w:val="23"/>
                <w:lang w:eastAsia="zh-CN"/>
              </w:rPr>
              <w:t>（</w:t>
            </w:r>
            <w:r>
              <w:rPr>
                <w:rFonts w:ascii="仿宋" w:hAnsi="仿宋" w:eastAsia="仿宋" w:cs="仿宋"/>
                <w:spacing w:val="-1"/>
                <w:sz w:val="23"/>
                <w:szCs w:val="23"/>
              </w:rPr>
              <w:t>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r>
              <w:rPr>
                <w:rFonts w:hint="eastAsia" w:ascii="仿宋" w:hAnsi="仿宋" w:eastAsia="仿宋" w:cs="仿宋"/>
                <w:spacing w:val="15"/>
                <w:sz w:val="23"/>
                <w:szCs w:val="23"/>
                <w:lang w:eastAsia="zh-CN"/>
              </w:rPr>
              <w:t>）</w:t>
            </w:r>
            <w:r>
              <w:rPr>
                <w:rFonts w:ascii="仿宋" w:hAnsi="仿宋" w:eastAsia="仿宋" w:cs="仿宋"/>
                <w:spacing w:val="15"/>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 xml:space="preserve">    </w:t>
            </w:r>
            <w:r>
              <w:rPr>
                <w:rFonts w:ascii="仿宋" w:hAnsi="仿宋" w:eastAsia="仿宋" w:cs="仿宋"/>
                <w:spacing w:val="-11"/>
                <w:sz w:val="24"/>
                <w:szCs w:val="24"/>
              </w:rPr>
              <w:t>截止时间：202</w:t>
            </w:r>
            <w:r>
              <w:rPr>
                <w:rFonts w:hint="eastAsia" w:ascii="仿宋" w:hAnsi="仿宋" w:eastAsia="仿宋" w:cs="仿宋"/>
                <w:spacing w:val="-11"/>
                <w:sz w:val="24"/>
                <w:szCs w:val="24"/>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04</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09</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r>
              <w:rPr>
                <w:rFonts w:hint="eastAsia" w:ascii="仿宋" w:hAnsi="仿宋" w:eastAsia="仿宋" w:cs="仿宋"/>
                <w:spacing w:val="-11"/>
                <w:sz w:val="24"/>
                <w:szCs w:val="24"/>
                <w:lang w:val="en-US" w:eastAsia="zh-CN"/>
              </w:rPr>
              <w:t>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pStyle w:val="2"/>
        <w:rPr>
          <w:rFonts w:hint="default"/>
          <w:b/>
          <w:bCs/>
          <w:sz w:val="36"/>
          <w:szCs w:val="36"/>
          <w:lang w:val="en-US" w:eastAsia="zh-CN"/>
        </w:rPr>
      </w:pPr>
      <w:r>
        <w:rPr>
          <w:rFonts w:hint="eastAsia"/>
          <w:b/>
          <w:bCs/>
          <w:sz w:val="36"/>
          <w:szCs w:val="36"/>
          <w:lang w:val="en-US" w:eastAsia="zh-CN"/>
        </w:rPr>
        <w:t>菜粕</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感官指标：</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仿宋" w:hAnsi="仿宋" w:eastAsia="仿宋" w:cs="仿宋"/>
          <w:b w:val="0"/>
          <w:bCs w:val="0"/>
          <w:spacing w:val="8"/>
          <w:sz w:val="24"/>
          <w:szCs w:val="24"/>
          <w:lang w:val="en-US" w:eastAsia="zh-CN"/>
        </w:rPr>
      </w:pPr>
      <w:r>
        <w:rPr>
          <w:rFonts w:hint="eastAsia" w:ascii="仿宋" w:hAnsi="仿宋" w:eastAsia="仿宋" w:cs="仿宋"/>
          <w:b w:val="0"/>
          <w:bCs w:val="0"/>
          <w:spacing w:val="8"/>
          <w:sz w:val="24"/>
          <w:szCs w:val="24"/>
          <w:lang w:val="en-US" w:eastAsia="zh-CN"/>
        </w:rPr>
        <w:t>黄色至褐色，呈碎片或粗粉状，色泽新鲜一致，无霉变、结块、掺假、炭化。具有油香味，尝之有苦味，不可有发酵、发霉及异味异臭。</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32"/>
          <w:szCs w:val="21"/>
          <w:lang w:val="en-US" w:eastAsia="zh-CN"/>
        </w:rPr>
      </w:pPr>
      <w:r>
        <w:rPr>
          <w:rFonts w:hint="eastAsia" w:ascii="仿宋" w:hAnsi="仿宋" w:eastAsia="仿宋" w:cs="仿宋"/>
          <w:b/>
          <w:bCs/>
          <w:spacing w:val="8"/>
          <w:sz w:val="28"/>
          <w:szCs w:val="28"/>
          <w:lang w:val="en-US" w:eastAsia="zh-CN"/>
        </w:rPr>
        <w:t>2、技术指标</w:t>
      </w:r>
      <w:r>
        <w:rPr>
          <w:rFonts w:hint="eastAsia" w:ascii="仿宋" w:hAnsi="仿宋" w:eastAsia="仿宋" w:cs="仿宋"/>
          <w:spacing w:val="8"/>
          <w:sz w:val="28"/>
          <w:szCs w:val="28"/>
          <w:lang w:val="en-US" w:eastAsia="zh-CN"/>
        </w:rPr>
        <w:t>：</w:t>
      </w:r>
    </w:p>
    <w:tbl>
      <w:tblPr>
        <w:tblStyle w:val="4"/>
        <w:tblpPr w:leftFromText="180" w:rightFromText="180" w:vertAnchor="text" w:horzAnchor="page" w:tblpX="1014" w:tblpY="258"/>
        <w:tblOverlap w:val="never"/>
        <w:tblW w:w="10351"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43"/>
        <w:gridCol w:w="3912"/>
        <w:gridCol w:w="1102"/>
        <w:gridCol w:w="1656"/>
        <w:gridCol w:w="1353"/>
        <w:gridCol w:w="12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4955" w:type="dxa"/>
            <w:gridSpan w:val="2"/>
            <w:vMerge w:val="restart"/>
            <w:noWrap w:val="0"/>
            <w:vAlign w:val="top"/>
          </w:tcPr>
          <w:p>
            <w:pPr>
              <w:pStyle w:val="2"/>
              <w:ind w:firstLine="440" w:firstLineChars="200"/>
              <w:rPr>
                <w:rFonts w:hint="eastAsia" w:ascii="仿宋" w:hAnsi="仿宋" w:eastAsia="仿宋" w:cs="仿宋"/>
                <w:b w:val="0"/>
                <w:bCs w:val="0"/>
                <w:sz w:val="22"/>
                <w:szCs w:val="16"/>
                <w:lang w:val="en-US" w:eastAsia="zh-CN"/>
              </w:rPr>
            </w:pPr>
          </w:p>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 目</w:t>
            </w:r>
          </w:p>
        </w:tc>
        <w:tc>
          <w:tcPr>
            <w:tcW w:w="2758" w:type="dxa"/>
            <w:gridSpan w:val="2"/>
            <w:noWrap w:val="0"/>
            <w:vAlign w:val="top"/>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标准值</w:t>
            </w:r>
          </w:p>
        </w:tc>
        <w:tc>
          <w:tcPr>
            <w:tcW w:w="1353" w:type="dxa"/>
            <w:vMerge w:val="restart"/>
            <w:noWrap w:val="0"/>
            <w:vAlign w:val="top"/>
          </w:tcPr>
          <w:p>
            <w:pPr>
              <w:pStyle w:val="2"/>
              <w:ind w:firstLine="440" w:firstLineChars="200"/>
              <w:rPr>
                <w:rFonts w:hint="eastAsia" w:ascii="仿宋" w:hAnsi="仿宋" w:eastAsia="仿宋" w:cs="仿宋"/>
                <w:b w:val="0"/>
                <w:bCs w:val="0"/>
                <w:sz w:val="22"/>
                <w:szCs w:val="16"/>
                <w:lang w:val="en-US" w:eastAsia="zh-CN"/>
              </w:rPr>
            </w:pPr>
          </w:p>
          <w:p>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85" w:type="dxa"/>
            <w:vMerge w:val="restart"/>
            <w:noWrap w:val="0"/>
            <w:vAlign w:val="top"/>
          </w:tcPr>
          <w:p>
            <w:pPr>
              <w:pStyle w:val="2"/>
              <w:ind w:firstLine="440" w:firstLineChars="200"/>
              <w:rPr>
                <w:rFonts w:hint="eastAsia" w:ascii="仿宋" w:hAnsi="仿宋" w:eastAsia="仿宋" w:cs="仿宋"/>
                <w:b w:val="0"/>
                <w:bCs w:val="0"/>
                <w:sz w:val="22"/>
                <w:szCs w:val="16"/>
                <w:lang w:val="en-US" w:eastAsia="zh-CN"/>
              </w:rPr>
            </w:pPr>
          </w:p>
          <w:p>
            <w:pPr>
              <w:pStyle w:val="2"/>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trPr>
        <w:tc>
          <w:tcPr>
            <w:tcW w:w="4955" w:type="dxa"/>
            <w:gridSpan w:val="2"/>
            <w:vMerge w:val="continue"/>
            <w:tcBorders>
              <w:top w:val="nil"/>
            </w:tcBorders>
            <w:noWrap w:val="0"/>
            <w:vAlign w:val="top"/>
          </w:tcPr>
          <w:p>
            <w:pPr>
              <w:pStyle w:val="2"/>
              <w:ind w:firstLine="440" w:firstLineChars="200"/>
              <w:rPr>
                <w:rFonts w:hint="eastAsia" w:ascii="仿宋" w:hAnsi="仿宋" w:eastAsia="仿宋" w:cs="仿宋"/>
                <w:b w:val="0"/>
                <w:bCs w:val="0"/>
                <w:sz w:val="22"/>
                <w:szCs w:val="16"/>
                <w:lang w:val="en-US" w:eastAsia="zh-CN"/>
              </w:rPr>
            </w:pPr>
          </w:p>
        </w:tc>
        <w:tc>
          <w:tcPr>
            <w:tcW w:w="1102" w:type="dxa"/>
            <w:noWrap w:val="0"/>
            <w:vAlign w:val="top"/>
          </w:tcPr>
          <w:p>
            <w:pPr>
              <w:pStyle w:val="2"/>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一级</w:t>
            </w:r>
          </w:p>
        </w:tc>
        <w:tc>
          <w:tcPr>
            <w:tcW w:w="1656" w:type="dxa"/>
            <w:noWrap w:val="0"/>
            <w:vAlign w:val="top"/>
          </w:tcPr>
          <w:p>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二级</w:t>
            </w:r>
          </w:p>
        </w:tc>
        <w:tc>
          <w:tcPr>
            <w:tcW w:w="1353" w:type="dxa"/>
            <w:vMerge w:val="continue"/>
            <w:tcBorders>
              <w:top w:val="nil"/>
            </w:tcBorders>
            <w:noWrap w:val="0"/>
            <w:vAlign w:val="top"/>
          </w:tcPr>
          <w:p>
            <w:pPr>
              <w:pStyle w:val="2"/>
              <w:ind w:firstLine="440" w:firstLineChars="200"/>
              <w:rPr>
                <w:rFonts w:hint="eastAsia" w:ascii="仿宋" w:hAnsi="仿宋" w:eastAsia="仿宋" w:cs="仿宋"/>
                <w:b w:val="0"/>
                <w:bCs w:val="0"/>
                <w:sz w:val="22"/>
                <w:szCs w:val="16"/>
                <w:lang w:val="en-US" w:eastAsia="zh-CN"/>
              </w:rPr>
            </w:pPr>
          </w:p>
        </w:tc>
        <w:tc>
          <w:tcPr>
            <w:tcW w:w="1285" w:type="dxa"/>
            <w:vMerge w:val="continue"/>
            <w:tcBorders>
              <w:top w:val="nil"/>
            </w:tcBorders>
            <w:noWrap w:val="0"/>
            <w:vAlign w:val="top"/>
          </w:tcPr>
          <w:p>
            <w:pPr>
              <w:pStyle w:val="2"/>
              <w:ind w:firstLine="440" w:firstLineChars="200"/>
              <w:rPr>
                <w:rFonts w:hint="eastAsia" w:ascii="仿宋" w:hAnsi="仿宋" w:eastAsia="仿宋" w:cs="仿宋"/>
                <w:b w:val="0"/>
                <w:bCs w:val="0"/>
                <w:sz w:val="22"/>
                <w:szCs w:val="16"/>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1043" w:type="dxa"/>
            <w:noWrap w:val="0"/>
            <w:vAlign w:val="top"/>
          </w:tcPr>
          <w:p>
            <w:pPr>
              <w:pStyle w:val="2"/>
              <w:ind w:firstLine="440" w:firstLineChars="200"/>
              <w:rPr>
                <w:rFonts w:hint="eastAsia" w:ascii="仿宋" w:hAnsi="仿宋" w:eastAsia="仿宋" w:cs="仿宋"/>
                <w:b w:val="0"/>
                <w:bCs w:val="0"/>
                <w:sz w:val="22"/>
                <w:szCs w:val="16"/>
                <w:lang w:val="en-US" w:eastAsia="zh-CN"/>
              </w:rPr>
            </w:pPr>
          </w:p>
        </w:tc>
        <w:tc>
          <w:tcPr>
            <w:tcW w:w="3912" w:type="dxa"/>
            <w:noWrap w:val="0"/>
            <w:vAlign w:val="top"/>
          </w:tcPr>
          <w:p>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三聚氰胺（mg/kg）</w:t>
            </w:r>
          </w:p>
        </w:tc>
        <w:tc>
          <w:tcPr>
            <w:tcW w:w="2758" w:type="dxa"/>
            <w:gridSpan w:val="2"/>
            <w:noWrap w:val="0"/>
            <w:vAlign w:val="top"/>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353" w:type="dxa"/>
            <w:noWrap w:val="0"/>
            <w:vAlign w:val="top"/>
          </w:tcPr>
          <w:p>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85" w:type="dxa"/>
            <w:noWrap w:val="0"/>
            <w:vAlign w:val="top"/>
          </w:tcPr>
          <w:p>
            <w:pPr>
              <w:pStyle w:val="2"/>
              <w:ind w:firstLine="660" w:firstLineChars="3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bl>
    <w:tbl>
      <w:tblPr>
        <w:tblStyle w:val="4"/>
        <w:tblpPr w:leftFromText="180" w:rightFromText="180" w:vertAnchor="text" w:horzAnchor="page" w:tblpX="1029" w:tblpY="9"/>
        <w:tblOverlap w:val="never"/>
        <w:tblW w:w="10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0"/>
        <w:gridCol w:w="3952"/>
        <w:gridCol w:w="1103"/>
        <w:gridCol w:w="1620"/>
        <w:gridCol w:w="1365"/>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 w:hRule="atLeast"/>
        </w:trPr>
        <w:tc>
          <w:tcPr>
            <w:tcW w:w="1020" w:type="dxa"/>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风险指标</w:t>
            </w:r>
          </w:p>
        </w:tc>
        <w:tc>
          <w:tcPr>
            <w:tcW w:w="3952"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黄曲霉毒素B1（μg/kg）</w:t>
            </w:r>
          </w:p>
        </w:tc>
        <w:tc>
          <w:tcPr>
            <w:tcW w:w="2723"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365" w:type="dxa"/>
            <w:noWrap w:val="0"/>
            <w:vAlign w:val="center"/>
          </w:tcPr>
          <w:p>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102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脱氧雪腐镰刀菌烯醇（呕吐毒素）（mg/kg）</w:t>
            </w:r>
          </w:p>
        </w:tc>
        <w:tc>
          <w:tcPr>
            <w:tcW w:w="2723"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365" w:type="dxa"/>
            <w:noWrap w:val="0"/>
            <w:vAlign w:val="center"/>
          </w:tcPr>
          <w:p>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020" w:type="dxa"/>
            <w:vMerge w:val="restart"/>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理化指标</w:t>
            </w:r>
          </w:p>
        </w:tc>
        <w:tc>
          <w:tcPr>
            <w:tcW w:w="3952"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水分（%）</w:t>
            </w:r>
          </w:p>
        </w:tc>
        <w:tc>
          <w:tcPr>
            <w:tcW w:w="2723"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≤12.0</w:t>
            </w:r>
          </w:p>
        </w:tc>
        <w:tc>
          <w:tcPr>
            <w:tcW w:w="1365" w:type="dxa"/>
            <w:noWrap w:val="0"/>
            <w:vAlign w:val="center"/>
          </w:tcPr>
          <w:p>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＞13.0</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粗蛋白（%）</w:t>
            </w:r>
          </w:p>
        </w:tc>
        <w:tc>
          <w:tcPr>
            <w:tcW w:w="1103" w:type="dxa"/>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≥37.0</w:t>
            </w:r>
          </w:p>
        </w:tc>
        <w:tc>
          <w:tcPr>
            <w:tcW w:w="162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≥35.0</w:t>
            </w:r>
          </w:p>
        </w:tc>
        <w:tc>
          <w:tcPr>
            <w:tcW w:w="1365" w:type="dxa"/>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每级-1.2 %</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粗灰分（%）</w:t>
            </w:r>
          </w:p>
        </w:tc>
        <w:tc>
          <w:tcPr>
            <w:tcW w:w="2723"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≤8.0</w:t>
            </w:r>
          </w:p>
        </w:tc>
        <w:tc>
          <w:tcPr>
            <w:tcW w:w="1365" w:type="dxa"/>
            <w:noWrap w:val="0"/>
            <w:vAlign w:val="center"/>
          </w:tcPr>
          <w:p>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＞9</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粗纤维（%）</w:t>
            </w:r>
          </w:p>
        </w:tc>
        <w:tc>
          <w:tcPr>
            <w:tcW w:w="2723"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≤14.0</w:t>
            </w:r>
          </w:p>
        </w:tc>
        <w:tc>
          <w:tcPr>
            <w:tcW w:w="1365" w:type="dxa"/>
            <w:noWrap w:val="0"/>
            <w:vAlign w:val="center"/>
          </w:tcPr>
          <w:p>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＞15.0</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项目</w:t>
            </w:r>
          </w:p>
        </w:tc>
        <w:tc>
          <w:tcPr>
            <w:tcW w:w="2723"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方法</w:t>
            </w:r>
          </w:p>
        </w:tc>
        <w:tc>
          <w:tcPr>
            <w:tcW w:w="1365"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60" w:type="dxa"/>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3952" w:type="dxa"/>
            <w:vMerge w:val="restart"/>
            <w:noWrap w:val="0"/>
            <w:vAlign w:val="center"/>
          </w:tcPr>
          <w:p>
            <w:pPr>
              <w:pStyle w:val="2"/>
              <w:jc w:val="both"/>
              <w:rPr>
                <w:rFonts w:hint="eastAsia" w:ascii="仿宋" w:hAnsi="仿宋" w:eastAsia="仿宋" w:cs="仿宋"/>
                <w:b w:val="0"/>
                <w:bCs w:val="0"/>
                <w:sz w:val="22"/>
                <w:szCs w:val="16"/>
                <w:lang w:val="en-US" w:eastAsia="zh-CN"/>
              </w:rPr>
            </w:pPr>
          </w:p>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掺假检测（定性）</w:t>
            </w:r>
          </w:p>
        </w:tc>
        <w:tc>
          <w:tcPr>
            <w:tcW w:w="2723"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镜检</w:t>
            </w:r>
          </w:p>
        </w:tc>
        <w:tc>
          <w:tcPr>
            <w:tcW w:w="1365"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杂质＞2%</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3952"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2723"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盐酸法</w:t>
            </w:r>
          </w:p>
        </w:tc>
        <w:tc>
          <w:tcPr>
            <w:tcW w:w="1365"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3952"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2723"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四氯化碳法</w:t>
            </w:r>
          </w:p>
        </w:tc>
        <w:tc>
          <w:tcPr>
            <w:tcW w:w="1365"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020" w:type="dxa"/>
            <w:vMerge w:val="restart"/>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卫生指标</w:t>
            </w:r>
          </w:p>
        </w:tc>
        <w:tc>
          <w:tcPr>
            <w:tcW w:w="3952" w:type="dxa"/>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异硫氰酸酯（以丙烯基异硫氰酸酯计）</w:t>
            </w:r>
          </w:p>
        </w:tc>
        <w:tc>
          <w:tcPr>
            <w:tcW w:w="2723"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≤2000</w:t>
            </w:r>
          </w:p>
        </w:tc>
        <w:tc>
          <w:tcPr>
            <w:tcW w:w="1365"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＞2160</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5055" w:type="dxa"/>
            <w:gridSpan w:val="2"/>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噁唑烷硫酮（以C₅H₇NOS计，mg/kg）</w:t>
            </w:r>
          </w:p>
        </w:tc>
        <w:tc>
          <w:tcPr>
            <w:tcW w:w="162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≤2500</w:t>
            </w:r>
          </w:p>
        </w:tc>
        <w:tc>
          <w:tcPr>
            <w:tcW w:w="1365"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＞2760</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9300" w:type="dxa"/>
            <w:gridSpan w:val="5"/>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其他卫生指标执行GB13078-2017 规定标准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trPr>
        <w:tc>
          <w:tcPr>
            <w:tcW w:w="10320" w:type="dxa"/>
            <w:gridSpan w:val="6"/>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备注：</w:t>
            </w:r>
          </w:p>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1、呕吐毒素预警值为 1 mg/kg；</w:t>
            </w:r>
          </w:p>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2、理化指标为常态基础上的要求；</w:t>
            </w:r>
          </w:p>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3、风险指标和卫生指标不合格，拒收处置。</w:t>
            </w:r>
          </w:p>
        </w:tc>
      </w:tr>
    </w:tbl>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sz w:val="28"/>
          <w:szCs w:val="20"/>
          <w:lang w:val="en-US" w:eastAsia="zh-CN"/>
        </w:rPr>
      </w:pPr>
      <w:r>
        <w:rPr>
          <w:rFonts w:hint="eastAsia" w:ascii="仿宋" w:hAnsi="仿宋" w:eastAsia="仿宋" w:cs="仿宋"/>
          <w:b/>
          <w:bCs/>
          <w:sz w:val="28"/>
          <w:szCs w:val="20"/>
          <w:lang w:val="en-US" w:eastAsia="zh-CN"/>
        </w:rPr>
        <w:t>3、标签标识</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8"/>
          <w:szCs w:val="20"/>
          <w:lang w:val="en-US" w:eastAsia="zh-CN"/>
        </w:rPr>
      </w:pPr>
      <w:r>
        <w:rPr>
          <w:rFonts w:hint="eastAsia" w:ascii="仿宋" w:hAnsi="仿宋" w:eastAsia="仿宋" w:cs="仿宋"/>
          <w:b w:val="0"/>
          <w:bCs w:val="0"/>
          <w:sz w:val="28"/>
          <w:szCs w:val="20"/>
          <w:lang w:val="en-US" w:eastAsia="zh-CN"/>
        </w:rPr>
        <w:t>标签标识符合 GB 10648-2013中相关要求。</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sz w:val="28"/>
          <w:szCs w:val="20"/>
          <w:lang w:val="en-US" w:eastAsia="zh-CN"/>
        </w:rPr>
      </w:pPr>
      <w:r>
        <w:rPr>
          <w:rFonts w:hint="eastAsia" w:ascii="仿宋" w:hAnsi="仿宋" w:eastAsia="仿宋" w:cs="仿宋"/>
          <w:b/>
          <w:bCs/>
          <w:sz w:val="28"/>
          <w:szCs w:val="20"/>
          <w:lang w:val="en-US" w:eastAsia="zh-CN"/>
        </w:rPr>
        <w:t>4、包装、运输和储存</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8"/>
          <w:szCs w:val="20"/>
          <w:lang w:val="en-US" w:eastAsia="zh-CN"/>
        </w:rPr>
      </w:pPr>
      <w:r>
        <w:rPr>
          <w:rFonts w:hint="eastAsia" w:ascii="仿宋" w:hAnsi="仿宋" w:eastAsia="仿宋" w:cs="仿宋"/>
          <w:b w:val="0"/>
          <w:bCs w:val="0"/>
          <w:sz w:val="28"/>
          <w:szCs w:val="20"/>
          <w:lang w:val="en-US" w:eastAsia="zh-CN"/>
        </w:rPr>
        <w:t>包装、运输和储存符合 GB/T23736-2009中的要求。</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rPr>
          <w:rFonts w:hint="eastAsia"/>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sectPr>
          <w:footerReference r:id="rId18" w:type="default"/>
          <w:pgSz w:w="11905" w:h="16840"/>
          <w:pgMar w:top="400" w:right="1284" w:bottom="615" w:left="1665" w:header="0" w:footer="454" w:gutter="0"/>
          <w:pgNumType w:fmt="numberInDash"/>
          <w:cols w:space="720" w:num="1"/>
        </w:sect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164" w:type="dxa"/>
        <w:tblInd w:w="3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2"/>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A15B8"/>
    <w:multiLevelType w:val="singleLevel"/>
    <w:tmpl w:val="A20A15B8"/>
    <w:lvl w:ilvl="0" w:tentative="0">
      <w:start w:val="1"/>
      <w:numFmt w:val="decimal"/>
      <w:suff w:val="nothing"/>
      <w:lvlText w:val="%1、"/>
      <w:lvlJc w:val="left"/>
    </w:lvl>
  </w:abstractNum>
  <w:abstractNum w:abstractNumId="1">
    <w:nsid w:val="B83F907C"/>
    <w:multiLevelType w:val="singleLevel"/>
    <w:tmpl w:val="B83F907C"/>
    <w:lvl w:ilvl="0" w:tentative="0">
      <w:start w:val="1"/>
      <w:numFmt w:val="decimal"/>
      <w:lvlText w:val="%1."/>
      <w:lvlJc w:val="left"/>
      <w:pPr>
        <w:tabs>
          <w:tab w:val="left" w:pos="312"/>
        </w:tabs>
      </w:pPr>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6BE57DC"/>
    <w:rsid w:val="078925D1"/>
    <w:rsid w:val="0AE740ED"/>
    <w:rsid w:val="0D400D65"/>
    <w:rsid w:val="10A3562E"/>
    <w:rsid w:val="1148652E"/>
    <w:rsid w:val="131A3B1D"/>
    <w:rsid w:val="15050A4A"/>
    <w:rsid w:val="19C41EF4"/>
    <w:rsid w:val="1F5E2442"/>
    <w:rsid w:val="20C560FB"/>
    <w:rsid w:val="22887589"/>
    <w:rsid w:val="23841BC4"/>
    <w:rsid w:val="29B96BA9"/>
    <w:rsid w:val="2B124778"/>
    <w:rsid w:val="2B825EB4"/>
    <w:rsid w:val="385C0B47"/>
    <w:rsid w:val="3A16031F"/>
    <w:rsid w:val="3A3D1515"/>
    <w:rsid w:val="3E431CA2"/>
    <w:rsid w:val="40081B38"/>
    <w:rsid w:val="40A436CC"/>
    <w:rsid w:val="415A1EAD"/>
    <w:rsid w:val="43881600"/>
    <w:rsid w:val="4445400D"/>
    <w:rsid w:val="44C33E45"/>
    <w:rsid w:val="466D776C"/>
    <w:rsid w:val="53252A3D"/>
    <w:rsid w:val="53C70BC0"/>
    <w:rsid w:val="59270DD1"/>
    <w:rsid w:val="5B646073"/>
    <w:rsid w:val="5F4372CB"/>
    <w:rsid w:val="62970E7C"/>
    <w:rsid w:val="631725C7"/>
    <w:rsid w:val="63A72525"/>
    <w:rsid w:val="67B57236"/>
    <w:rsid w:val="6D4055C8"/>
    <w:rsid w:val="6D782F21"/>
    <w:rsid w:val="707B5D4B"/>
    <w:rsid w:val="716841A4"/>
    <w:rsid w:val="72D8479F"/>
    <w:rsid w:val="73DB5347"/>
    <w:rsid w:val="74545043"/>
    <w:rsid w:val="74CC105E"/>
    <w:rsid w:val="76C014C1"/>
    <w:rsid w:val="773C3348"/>
    <w:rsid w:val="7AF73267"/>
    <w:rsid w:val="7B2877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Paragraph"/>
    <w:basedOn w:val="1"/>
    <w:autoRedefine/>
    <w:qFormat/>
    <w:uiPriority w:val="1"/>
    <w:rPr>
      <w:rFonts w:ascii="宋体" w:hAnsi="宋体" w:eastAsia="宋体" w:cs="宋体"/>
      <w:lang w:val="zh-CN" w:eastAsia="zh-CN" w:bidi="zh-CN"/>
    </w:rPr>
  </w:style>
  <w:style w:type="paragraph" w:customStyle="1" w:styleId="9">
    <w:name w:val="55550"/>
    <w:basedOn w:val="1"/>
    <w:autoRedefine/>
    <w:qFormat/>
    <w:uiPriority w:val="0"/>
    <w:pPr>
      <w:jc w:val="center"/>
    </w:pPr>
    <w:rPr>
      <w:rFonts w:cs="Times New Roman"/>
      <w:szCs w:val="22"/>
    </w:rPr>
  </w:style>
  <w:style w:type="paragraph" w:customStyle="1" w:styleId="10">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1972</Words>
  <Characters>2186</Characters>
  <TotalTime>0</TotalTime>
  <ScaleCrop>false</ScaleCrop>
  <LinksUpToDate>false</LinksUpToDate>
  <CharactersWithSpaces>3197</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2024-04-02T02:23:49Z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2052-12.1.0.16388</vt:lpwstr>
  </property>
  <property fmtid="{D5CDD505-2E9C-101B-9397-08002B2CF9AE}" pid="5" name="ICV">
    <vt:lpwstr>84D2111B49C245049189463BF748E38D_12</vt:lpwstr>
  </property>
</Properties>
</file>