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灭蝇服务</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QJKJ-FW/MY-20240228</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0"/>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86"/>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牧场灭蝇服务</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服务期</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2024.3.10-2024.10.30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灭蝇服务</w:t>
            </w:r>
            <w:r>
              <w:rPr>
                <w:rFonts w:ascii="仿宋" w:hAnsi="仿宋" w:eastAsia="仿宋" w:cs="仿宋"/>
                <w:sz w:val="24"/>
                <w:szCs w:val="24"/>
                <w:vertAlign w:val="baseline"/>
              </w:rPr>
              <w:t>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72"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4"/>
                <w:szCs w:val="24"/>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4"/>
                <w:szCs w:val="24"/>
              </w:rPr>
            </w:pPr>
            <w:r>
              <w:rPr>
                <w:rFonts w:ascii="仿宋" w:hAnsi="仿宋" w:eastAsia="仿宋" w:cs="仿宋"/>
                <w:spacing w:val="16"/>
                <w:sz w:val="24"/>
                <w:szCs w:val="24"/>
              </w:rPr>
              <w:t>2</w:t>
            </w:r>
            <w:r>
              <w:rPr>
                <w:rFonts w:ascii="仿宋" w:hAnsi="仿宋" w:eastAsia="仿宋" w:cs="仿宋"/>
                <w:spacing w:val="9"/>
                <w:sz w:val="24"/>
                <w:szCs w:val="24"/>
              </w:rPr>
              <w:t>.</w:t>
            </w:r>
            <w:r>
              <w:rPr>
                <w:rFonts w:ascii="仿宋" w:hAnsi="仿宋" w:eastAsia="仿宋" w:cs="仿宋"/>
                <w:spacing w:val="8"/>
                <w:sz w:val="24"/>
                <w:szCs w:val="24"/>
              </w:rPr>
              <w:t>法人代表授权委托书及法人代表身份证</w:t>
            </w:r>
            <w:r>
              <w:rPr>
                <w:rFonts w:hint="eastAsia" w:ascii="仿宋" w:hAnsi="仿宋" w:eastAsia="仿宋" w:cs="仿宋"/>
                <w:spacing w:val="8"/>
                <w:sz w:val="24"/>
                <w:szCs w:val="24"/>
                <w:lang w:eastAsia="zh-CN"/>
              </w:rPr>
              <w:t>（</w:t>
            </w:r>
            <w:r>
              <w:rPr>
                <w:rFonts w:ascii="仿宋" w:hAnsi="仿宋" w:eastAsia="仿宋" w:cs="仿宋"/>
                <w:spacing w:val="8"/>
                <w:sz w:val="24"/>
                <w:szCs w:val="24"/>
              </w:rPr>
              <w:t>正反复</w:t>
            </w:r>
            <w:r>
              <w:rPr>
                <w:rFonts w:hint="eastAsia" w:ascii="仿宋" w:hAnsi="仿宋" w:eastAsia="仿宋" w:cs="仿宋"/>
                <w:spacing w:val="8"/>
                <w:sz w:val="24"/>
                <w:szCs w:val="24"/>
                <w:lang w:eastAsia="zh-CN"/>
              </w:rPr>
              <w:t>）</w:t>
            </w:r>
            <w:r>
              <w:rPr>
                <w:rFonts w:ascii="仿宋" w:hAnsi="仿宋" w:eastAsia="仿宋" w:cs="仿宋"/>
                <w:spacing w:val="3"/>
                <w:sz w:val="24"/>
                <w:szCs w:val="24"/>
              </w:rPr>
              <w:t xml:space="preserve"> 、被委托人身份证</w:t>
            </w:r>
            <w:r>
              <w:rPr>
                <w:rFonts w:hint="eastAsia" w:ascii="仿宋" w:hAnsi="仿宋" w:eastAsia="仿宋" w:cs="仿宋"/>
                <w:spacing w:val="3"/>
                <w:sz w:val="24"/>
                <w:szCs w:val="24"/>
                <w:lang w:eastAsia="zh-CN"/>
              </w:rPr>
              <w:t>（</w:t>
            </w:r>
            <w:r>
              <w:rPr>
                <w:rFonts w:ascii="仿宋" w:hAnsi="仿宋" w:eastAsia="仿宋" w:cs="仿宋"/>
                <w:spacing w:val="3"/>
                <w:sz w:val="24"/>
                <w:szCs w:val="24"/>
              </w:rPr>
              <w:t>正反复印件加盖公章</w:t>
            </w:r>
            <w:r>
              <w:rPr>
                <w:rFonts w:hint="eastAsia" w:ascii="仿宋" w:hAnsi="仿宋" w:eastAsia="仿宋" w:cs="仿宋"/>
                <w:spacing w:val="3"/>
                <w:sz w:val="24"/>
                <w:szCs w:val="24"/>
                <w:lang w:eastAsia="zh-CN"/>
              </w:rPr>
              <w:t>）</w:t>
            </w:r>
            <w:r>
              <w:rPr>
                <w:rFonts w:ascii="仿宋" w:hAnsi="仿宋" w:eastAsia="仿宋" w:cs="仿宋"/>
                <w:spacing w:val="3"/>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4"/>
                <w:szCs w:val="24"/>
              </w:rPr>
            </w:pPr>
            <w:r>
              <w:rPr>
                <w:rFonts w:ascii="仿宋" w:hAnsi="仿宋" w:eastAsia="仿宋" w:cs="仿宋"/>
                <w:spacing w:val="-2"/>
                <w:sz w:val="24"/>
                <w:szCs w:val="24"/>
              </w:rPr>
              <w:t>3. 投标人在过去三</w:t>
            </w:r>
            <w:r>
              <w:rPr>
                <w:rFonts w:ascii="仿宋" w:hAnsi="仿宋" w:eastAsia="仿宋" w:cs="仿宋"/>
                <w:spacing w:val="-1"/>
                <w:sz w:val="24"/>
                <w:szCs w:val="24"/>
              </w:rPr>
              <w:t>年中， 无介入诉讼或仲裁的案件，</w:t>
            </w:r>
            <w:r>
              <w:rPr>
                <w:rFonts w:ascii="仿宋" w:hAnsi="仿宋" w:eastAsia="仿宋" w:cs="仿宋"/>
                <w:sz w:val="24"/>
                <w:szCs w:val="24"/>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4"/>
                <w:szCs w:val="24"/>
              </w:rPr>
            </w:pPr>
            <w:r>
              <w:rPr>
                <w:rFonts w:ascii="仿宋" w:hAnsi="仿宋" w:eastAsia="仿宋" w:cs="仿宋"/>
                <w:spacing w:val="-1"/>
                <w:sz w:val="24"/>
                <w:szCs w:val="24"/>
              </w:rPr>
              <w:t xml:space="preserve">4. 投 标 人 未 </w:t>
            </w:r>
            <w:r>
              <w:rPr>
                <w:rFonts w:ascii="仿宋" w:hAnsi="仿宋" w:eastAsia="仿宋" w:cs="仿宋"/>
                <w:sz w:val="24"/>
                <w:szCs w:val="24"/>
              </w:rPr>
              <w:t xml:space="preserve">被 列 入 “ 信 用 中 国 ” 网 站 </w:t>
            </w:r>
            <w:r>
              <w:rPr>
                <w:rFonts w:hint="eastAsia" w:ascii="仿宋" w:hAnsi="仿宋" w:eastAsia="仿宋" w:cs="仿宋"/>
                <w:sz w:val="24"/>
                <w:szCs w:val="24"/>
                <w:lang w:eastAsia="zh-CN"/>
              </w:rPr>
              <w:t>（</w:t>
            </w:r>
            <w:r>
              <w:rPr>
                <w:rFonts w:ascii="仿宋" w:hAnsi="仿宋" w:eastAsia="仿宋" w:cs="仿宋"/>
                <w:sz w:val="24"/>
                <w:szCs w:val="24"/>
              </w:rPr>
              <w:t>www</w:t>
            </w:r>
            <w:r>
              <w:rPr>
                <w:rFonts w:ascii="仿宋" w:hAnsi="仿宋" w:eastAsia="仿宋" w:cs="仿宋"/>
                <w:spacing w:val="20"/>
                <w:sz w:val="24"/>
                <w:szCs w:val="24"/>
              </w:rPr>
              <w:t>.</w:t>
            </w:r>
            <w:r>
              <w:rPr>
                <w:rFonts w:ascii="仿宋" w:hAnsi="仿宋" w:eastAsia="仿宋" w:cs="仿宋"/>
                <w:sz w:val="24"/>
                <w:szCs w:val="24"/>
              </w:rPr>
              <w:t>creditchina</w:t>
            </w:r>
            <w:r>
              <w:rPr>
                <w:rFonts w:ascii="仿宋" w:hAnsi="仿宋" w:eastAsia="仿宋" w:cs="仿宋"/>
                <w:spacing w:val="20"/>
                <w:sz w:val="24"/>
                <w:szCs w:val="24"/>
              </w:rPr>
              <w:t>.</w:t>
            </w:r>
            <w:r>
              <w:rPr>
                <w:rFonts w:ascii="仿宋" w:hAnsi="仿宋" w:eastAsia="仿宋" w:cs="仿宋"/>
                <w:sz w:val="24"/>
                <w:szCs w:val="24"/>
              </w:rPr>
              <w:t>gov</w:t>
            </w:r>
            <w:r>
              <w:rPr>
                <w:rFonts w:ascii="仿宋" w:hAnsi="仿宋" w:eastAsia="仿宋" w:cs="仿宋"/>
                <w:spacing w:val="20"/>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pacing w:val="20"/>
                <w:sz w:val="24"/>
                <w:szCs w:val="24"/>
              </w:rPr>
              <w:t>记录失信被执行人或重大</w:t>
            </w:r>
            <w:r>
              <w:rPr>
                <w:rFonts w:ascii="仿宋" w:hAnsi="仿宋" w:eastAsia="仿宋" w:cs="仿宋"/>
                <w:spacing w:val="17"/>
                <w:sz w:val="24"/>
                <w:szCs w:val="24"/>
              </w:rPr>
              <w:t>税</w:t>
            </w:r>
            <w:r>
              <w:rPr>
                <w:rFonts w:ascii="仿宋" w:hAnsi="仿宋" w:eastAsia="仿宋" w:cs="仿宋"/>
                <w:sz w:val="24"/>
                <w:szCs w:val="24"/>
              </w:rPr>
              <w:t xml:space="preserve"> </w:t>
            </w:r>
            <w:r>
              <w:rPr>
                <w:rFonts w:ascii="仿宋" w:hAnsi="仿宋" w:eastAsia="仿宋" w:cs="仿宋"/>
                <w:spacing w:val="18"/>
                <w:sz w:val="24"/>
                <w:szCs w:val="24"/>
              </w:rPr>
              <w:t>收</w:t>
            </w:r>
            <w:r>
              <w:rPr>
                <w:rFonts w:ascii="仿宋" w:hAnsi="仿宋" w:eastAsia="仿宋" w:cs="仿宋"/>
                <w:spacing w:val="14"/>
                <w:sz w:val="24"/>
                <w:szCs w:val="24"/>
              </w:rPr>
              <w:t>违法案件当事人名单或政府采购严重违法失信行为记</w:t>
            </w:r>
            <w:r>
              <w:rPr>
                <w:rFonts w:ascii="仿宋" w:hAnsi="仿宋" w:eastAsia="仿宋" w:cs="仿宋"/>
                <w:spacing w:val="-1"/>
                <w:sz w:val="24"/>
                <w:szCs w:val="24"/>
              </w:rPr>
              <w:t>录名单</w:t>
            </w:r>
            <w:r>
              <w:rPr>
                <w:rFonts w:hint="eastAsia" w:ascii="仿宋" w:hAnsi="仿宋" w:eastAsia="仿宋" w:cs="仿宋"/>
                <w:spacing w:val="-1"/>
                <w:sz w:val="24"/>
                <w:szCs w:val="24"/>
                <w:lang w:eastAsia="zh-CN"/>
              </w:rPr>
              <w:t>（</w:t>
            </w:r>
            <w:r>
              <w:rPr>
                <w:rFonts w:ascii="仿宋" w:hAnsi="仿宋" w:eastAsia="仿宋" w:cs="仿宋"/>
                <w:spacing w:val="-1"/>
                <w:sz w:val="24"/>
                <w:szCs w:val="24"/>
              </w:rPr>
              <w:t>以在“信用中国”网站</w:t>
            </w:r>
            <w:r>
              <w:rPr>
                <w:rFonts w:hint="eastAsia" w:ascii="仿宋" w:hAnsi="仿宋" w:eastAsia="仿宋" w:cs="仿宋"/>
                <w:spacing w:val="-1"/>
                <w:sz w:val="24"/>
                <w:szCs w:val="24"/>
                <w:lang w:eastAsia="zh-CN"/>
              </w:rPr>
              <w:t>（</w:t>
            </w:r>
            <w:r>
              <w:rPr>
                <w:rFonts w:ascii="仿宋" w:hAnsi="仿宋" w:eastAsia="仿宋" w:cs="仿宋"/>
                <w:spacing w:val="-1"/>
                <w:sz w:val="24"/>
                <w:szCs w:val="24"/>
              </w:rPr>
              <w:t>www.cre</w:t>
            </w:r>
            <w:r>
              <w:rPr>
                <w:rFonts w:ascii="仿宋" w:hAnsi="仿宋" w:eastAsia="仿宋" w:cs="仿宋"/>
                <w:sz w:val="24"/>
                <w:szCs w:val="24"/>
              </w:rPr>
              <w:t>ditchina</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z w:val="24"/>
                <w:szCs w:val="24"/>
              </w:rPr>
              <w:t xml:space="preserve"> </w:t>
            </w:r>
            <w:r>
              <w:rPr>
                <w:rFonts w:ascii="仿宋" w:hAnsi="仿宋" w:eastAsia="仿宋" w:cs="仿宋"/>
                <w:spacing w:val="-8"/>
                <w:sz w:val="24"/>
                <w:szCs w:val="24"/>
              </w:rPr>
              <w:t>查询结果</w:t>
            </w:r>
            <w:r>
              <w:rPr>
                <w:rFonts w:ascii="仿宋" w:hAnsi="仿宋" w:eastAsia="仿宋" w:cs="仿宋"/>
                <w:spacing w:val="-4"/>
                <w:sz w:val="24"/>
                <w:szCs w:val="24"/>
              </w:rPr>
              <w:t>为准， 如相关失信记录已失效， 投标人需提供相</w:t>
            </w:r>
            <w:r>
              <w:rPr>
                <w:rFonts w:ascii="仿宋" w:hAnsi="仿宋" w:eastAsia="仿宋" w:cs="仿宋"/>
                <w:sz w:val="24"/>
                <w:szCs w:val="24"/>
              </w:rPr>
              <w:t xml:space="preserve"> </w:t>
            </w:r>
            <w:r>
              <w:rPr>
                <w:rFonts w:ascii="仿宋" w:hAnsi="仿宋" w:eastAsia="仿宋" w:cs="仿宋"/>
                <w:spacing w:val="15"/>
                <w:sz w:val="24"/>
                <w:szCs w:val="24"/>
              </w:rPr>
              <w:t>关证明资料</w:t>
            </w:r>
            <w:r>
              <w:rPr>
                <w:rFonts w:hint="eastAsia" w:ascii="仿宋" w:hAnsi="仿宋" w:eastAsia="仿宋" w:cs="仿宋"/>
                <w:spacing w:val="15"/>
                <w:sz w:val="24"/>
                <w:szCs w:val="24"/>
                <w:lang w:eastAsia="zh-CN"/>
              </w:rPr>
              <w:t>）</w:t>
            </w:r>
            <w:r>
              <w:rPr>
                <w:rFonts w:ascii="仿宋" w:hAnsi="仿宋" w:eastAsia="仿宋" w:cs="仿宋"/>
                <w:spacing w:val="1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ascii="仿宋" w:hAnsi="仿宋" w:eastAsia="仿宋" w:cs="仿宋"/>
                <w:spacing w:val="-60"/>
                <w:sz w:val="24"/>
                <w:szCs w:val="24"/>
                <w:u w:val="single"/>
              </w:rPr>
              <w:t xml:space="preserve"> </w:t>
            </w:r>
            <w:r>
              <w:rPr>
                <w:rFonts w:hint="eastAsia" w:ascii="仿宋" w:hAnsi="仿宋" w:eastAsia="仿宋" w:cs="仿宋"/>
                <w:spacing w:val="-60"/>
                <w:sz w:val="24"/>
                <w:szCs w:val="24"/>
                <w:u w:val="single"/>
                <w:lang w:val="en-US" w:eastAsia="zh-CN"/>
              </w:rPr>
              <w:t xml:space="preserve">2 8  </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分之前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后发送至邮箱gansu_qjmy_ts@163.com；</w:t>
            </w:r>
            <w:r>
              <w:rPr>
                <w:rFonts w:ascii="仿宋" w:hAnsi="仿宋" w:eastAsia="仿宋" w:cs="仿宋"/>
                <w:spacing w:val="-11"/>
                <w:sz w:val="24"/>
                <w:szCs w:val="24"/>
              </w:rPr>
              <w:fldChar w:fldCharType="end"/>
            </w:r>
            <w:r>
              <w:rPr>
                <w:rFonts w:hint="eastAsia" w:ascii="仿宋" w:hAnsi="仿宋" w:eastAsia="仿宋" w:cs="仿宋"/>
                <w:spacing w:val="-11"/>
                <w:sz w:val="24"/>
                <w:szCs w:val="24"/>
                <w:lang w:val="en-US" w:eastAsia="zh-CN"/>
              </w:rPr>
              <w:t xml:space="preserve">            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color w:val="0000FF"/>
                <w:sz w:val="24"/>
                <w:szCs w:val="24"/>
                <w:vertAlign w:val="baseline"/>
                <w:lang w:val="en-US" w:eastAsia="zh-CN"/>
              </w:rPr>
              <w:t xml:space="preserve"> 合同签订后服务方及时去牧场实施灭蝇工作，服务90天后检查，抽查能够达到乙方的服务标准后开具发票，收到服务费发票后30日内付款50%, 剩余灭蝇工作结束后付清50%。</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服务标准</w:t>
      </w:r>
    </w:p>
    <w:p>
      <w:pPr>
        <w:pStyle w:val="2"/>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p>
    <w:p>
      <w:pPr>
        <w:rPr>
          <w:rFonts w:hint="eastAsia" w:ascii="仿宋" w:hAnsi="仿宋" w:eastAsia="仿宋" w:cs="仿宋"/>
        </w:rPr>
      </w:pPr>
    </w:p>
    <w:p>
      <w:pPr>
        <w:keepNext w:val="0"/>
        <w:keepLines w:val="0"/>
        <w:pageBreakBefore w:val="0"/>
        <w:widowControl/>
        <w:kinsoku w:val="0"/>
        <w:wordWrap/>
        <w:overflowPunct/>
        <w:topLinePunct w:val="0"/>
        <w:autoSpaceDE w:val="0"/>
        <w:autoSpaceDN w:val="0"/>
        <w:bidi w:val="0"/>
        <w:adjustRightInd w:val="0"/>
        <w:snapToGrid w:val="0"/>
        <w:spacing w:before="156" w:line="480" w:lineRule="auto"/>
        <w:ind w:firstLine="360" w:firstLineChars="100"/>
        <w:textAlignment w:val="baseline"/>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z w:val="36"/>
          <w:szCs w:val="36"/>
        </w:rPr>
        <w:t>每月各牛舍、奶厅检测两次，无干扰静置1小时，粘蝇数量低于20个</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若</w:t>
      </w:r>
      <w:r>
        <w:rPr>
          <w:rFonts w:hint="eastAsia" w:ascii="仿宋" w:hAnsi="仿宋" w:eastAsia="仿宋" w:cs="仿宋"/>
          <w:sz w:val="36"/>
          <w:szCs w:val="36"/>
        </w:rPr>
        <w:t>全部合格</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根据付款方式予以</w:t>
      </w:r>
      <w:r>
        <w:rPr>
          <w:rFonts w:hint="eastAsia" w:ascii="仿宋" w:hAnsi="仿宋" w:eastAsia="仿宋" w:cs="仿宋"/>
          <w:sz w:val="36"/>
          <w:szCs w:val="36"/>
        </w:rPr>
        <w:t>支付当月费用</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若</w:t>
      </w:r>
      <w:r>
        <w:rPr>
          <w:rFonts w:hint="eastAsia" w:ascii="仿宋" w:hAnsi="仿宋" w:eastAsia="仿宋" w:cs="仿宋"/>
          <w:sz w:val="36"/>
          <w:szCs w:val="36"/>
        </w:rPr>
        <w:t>合格率</w:t>
      </w:r>
      <w:r>
        <w:rPr>
          <w:rFonts w:hint="eastAsia" w:ascii="仿宋" w:hAnsi="仿宋" w:eastAsia="仿宋" w:cs="仿宋"/>
          <w:sz w:val="36"/>
          <w:szCs w:val="36"/>
          <w:lang w:val="en-US" w:eastAsia="zh-CN"/>
        </w:rPr>
        <w:t>达到</w:t>
      </w:r>
      <w:r>
        <w:rPr>
          <w:rFonts w:hint="eastAsia" w:ascii="仿宋" w:hAnsi="仿宋" w:eastAsia="仿宋" w:cs="仿宋"/>
          <w:sz w:val="36"/>
          <w:szCs w:val="36"/>
        </w:rPr>
        <w:t>80%</w:t>
      </w:r>
      <w:r>
        <w:rPr>
          <w:rFonts w:hint="eastAsia" w:ascii="仿宋" w:hAnsi="仿宋" w:eastAsia="仿宋" w:cs="仿宋"/>
          <w:sz w:val="36"/>
          <w:szCs w:val="36"/>
          <w:lang w:val="en-US" w:eastAsia="zh-CN"/>
        </w:rPr>
        <w:t>以上</w:t>
      </w:r>
      <w:r>
        <w:rPr>
          <w:rFonts w:hint="eastAsia" w:ascii="仿宋" w:hAnsi="仿宋" w:eastAsia="仿宋" w:cs="仿宋"/>
          <w:sz w:val="36"/>
          <w:szCs w:val="36"/>
        </w:rPr>
        <w:t>支付50%费用；合格率低于80%扣除当月费用</w:t>
      </w:r>
      <w:r>
        <w:rPr>
          <w:rFonts w:hint="eastAsia" w:ascii="仿宋" w:hAnsi="仿宋" w:eastAsia="仿宋" w:cs="仿宋"/>
          <w:sz w:val="36"/>
          <w:szCs w:val="36"/>
          <w:lang w:eastAsia="zh-CN"/>
        </w:rPr>
        <w:t>；</w:t>
      </w:r>
      <w:r>
        <w:rPr>
          <w:rFonts w:hint="eastAsia" w:ascii="仿宋" w:hAnsi="仿宋" w:eastAsia="仿宋" w:cs="仿宋"/>
          <w:sz w:val="36"/>
          <w:szCs w:val="36"/>
        </w:rPr>
        <w:t>连续两个月低于80%终止合作</w:t>
      </w:r>
      <w:r>
        <w:rPr>
          <w:rFonts w:hint="eastAsia" w:ascii="仿宋" w:hAnsi="仿宋" w:eastAsia="仿宋" w:cs="仿宋"/>
          <w:sz w:val="36"/>
          <w:szCs w:val="36"/>
          <w:lang w:eastAsia="zh-CN"/>
        </w:rPr>
        <w:t>。</w:t>
      </w: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264" w:firstLineChars="10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三、投标价表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sectPr>
          <w:headerReference r:id="rId16" w:type="default"/>
          <w:footerReference r:id="rId17" w:type="default"/>
          <w:pgSz w:w="11905" w:h="16840"/>
          <w:pgMar w:top="400" w:right="1728" w:bottom="615" w:left="1716" w:header="0" w:footer="454" w:gutter="0"/>
          <w:pgNumType w:fmt="numberInDash"/>
          <w:cols w:space="720" w:num="1"/>
        </w:sect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7"/>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t>投标</w:t>
      </w:r>
      <w:r>
        <w:rPr>
          <w:rFonts w:ascii="仿宋" w:hAnsi="仿宋" w:eastAsia="仿宋" w:cs="仿宋"/>
          <w:spacing w:val="-7"/>
          <w:sz w:val="32"/>
          <w:szCs w:val="32"/>
          <w14:textOutline w14:w="4064" w14:cap="flat" w14:cmpd="sng">
            <w14:solidFill>
              <w14:srgbClr w14:val="000000"/>
            </w14:solidFill>
            <w14:prstDash w14:val="solid"/>
            <w14:miter w14:val="0"/>
          </w14:textOutline>
        </w:rPr>
        <w:t>报价表</w:t>
      </w:r>
    </w:p>
    <w:tbl>
      <w:tblPr>
        <w:tblStyle w:val="4"/>
        <w:tblpPr w:leftFromText="180" w:rightFromText="180" w:vertAnchor="text" w:horzAnchor="page" w:tblpX="1825" w:tblpY="984"/>
        <w:tblOverlap w:val="never"/>
        <w:tblW w:w="8946" w:type="dxa"/>
        <w:tblInd w:w="0" w:type="dxa"/>
        <w:tblLayout w:type="fixed"/>
        <w:tblCellMar>
          <w:top w:w="0" w:type="dxa"/>
          <w:left w:w="108" w:type="dxa"/>
          <w:bottom w:w="0" w:type="dxa"/>
          <w:right w:w="108" w:type="dxa"/>
        </w:tblCellMar>
      </w:tblPr>
      <w:tblGrid>
        <w:gridCol w:w="1080"/>
        <w:gridCol w:w="2507"/>
        <w:gridCol w:w="2060"/>
        <w:gridCol w:w="3299"/>
      </w:tblGrid>
      <w:tr>
        <w:tblPrEx>
          <w:tblCellMar>
            <w:top w:w="0" w:type="dxa"/>
            <w:left w:w="108" w:type="dxa"/>
            <w:bottom w:w="0" w:type="dxa"/>
            <w:right w:w="108" w:type="dxa"/>
          </w:tblCellMar>
        </w:tblPrEx>
        <w:trPr>
          <w:trHeight w:val="84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序号</w:t>
            </w:r>
          </w:p>
        </w:tc>
        <w:tc>
          <w:tcPr>
            <w:tcW w:w="2507"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商品名</w:t>
            </w:r>
          </w:p>
        </w:tc>
        <w:tc>
          <w:tcPr>
            <w:tcW w:w="20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价格（元）/每头</w:t>
            </w:r>
          </w:p>
        </w:tc>
        <w:tc>
          <w:tcPr>
            <w:tcW w:w="3299" w:type="dxa"/>
            <w:tcBorders>
              <w:top w:val="single" w:color="000000" w:sz="4" w:space="0"/>
              <w:left w:val="single" w:color="000000" w:sz="4" w:space="0"/>
              <w:bottom w:val="single" w:color="000000" w:sz="4" w:space="0"/>
              <w:right w:val="single" w:color="000000" w:sz="8" w:space="0"/>
            </w:tcBorders>
            <w:shd w:val="clear" w:color="auto" w:fill="F2F2F2"/>
            <w:vAlign w:val="center"/>
          </w:tcPr>
          <w:p>
            <w:pPr>
              <w:widowControl/>
              <w:jc w:val="center"/>
              <w:textAlignment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期限</w:t>
            </w:r>
          </w:p>
        </w:tc>
      </w:tr>
      <w:tr>
        <w:tblPrEx>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灭蝇服务费</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1"/>
                <w:szCs w:val="21"/>
              </w:rPr>
            </w:pPr>
          </w:p>
        </w:tc>
        <w:tc>
          <w:tcPr>
            <w:tcW w:w="329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2024.3.10-2024.10.30</w:t>
            </w:r>
          </w:p>
        </w:tc>
      </w:tr>
    </w:tbl>
    <w:p>
      <w:pPr>
        <w:spacing w:line="318" w:lineRule="auto"/>
        <w:rPr>
          <w:rFonts w:ascii="Arial"/>
          <w:sz w:val="21"/>
        </w:rPr>
      </w:pPr>
    </w:p>
    <w:p>
      <w:pPr>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pPr>
        <w:pStyle w:val="2"/>
        <w:rPr>
          <w:rFonts w:ascii="仿宋" w:hAnsi="仿宋" w:eastAsia="仿宋" w:cs="仿宋"/>
          <w:sz w:val="24"/>
          <w:szCs w:val="24"/>
        </w:rPr>
      </w:pPr>
    </w:p>
    <w:sectPr>
      <w:footerReference r:id="rId18"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7180CCA"/>
    <w:rsid w:val="078925D1"/>
    <w:rsid w:val="093356E4"/>
    <w:rsid w:val="0BD82070"/>
    <w:rsid w:val="0E7E266D"/>
    <w:rsid w:val="131A3B1D"/>
    <w:rsid w:val="157E728A"/>
    <w:rsid w:val="17B52A3D"/>
    <w:rsid w:val="1F8354AA"/>
    <w:rsid w:val="201E3CCF"/>
    <w:rsid w:val="20C560FB"/>
    <w:rsid w:val="22887589"/>
    <w:rsid w:val="23333736"/>
    <w:rsid w:val="25F8392C"/>
    <w:rsid w:val="280A7932"/>
    <w:rsid w:val="385C0B47"/>
    <w:rsid w:val="388A08F5"/>
    <w:rsid w:val="3D803103"/>
    <w:rsid w:val="40081B38"/>
    <w:rsid w:val="4240189B"/>
    <w:rsid w:val="43881600"/>
    <w:rsid w:val="43A320A1"/>
    <w:rsid w:val="4445400D"/>
    <w:rsid w:val="46FC78A6"/>
    <w:rsid w:val="5119144D"/>
    <w:rsid w:val="53252A3D"/>
    <w:rsid w:val="59270DD1"/>
    <w:rsid w:val="631725C7"/>
    <w:rsid w:val="642D4379"/>
    <w:rsid w:val="6BC705A9"/>
    <w:rsid w:val="6D782F21"/>
    <w:rsid w:val="6EB40A79"/>
    <w:rsid w:val="707B5D4B"/>
    <w:rsid w:val="71B7463E"/>
    <w:rsid w:val="72951726"/>
    <w:rsid w:val="72D8479F"/>
    <w:rsid w:val="72FC15DE"/>
    <w:rsid w:val="74580A68"/>
    <w:rsid w:val="74CC105E"/>
    <w:rsid w:val="76C014C1"/>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18</TotalTime>
  <ScaleCrop>false</ScaleCrop>
  <LinksUpToDate>false</LinksUpToDate>
  <CharactersWithSpaces>3259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2024-02-21T02:02:44Z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975DD1B06F0848EDA18E9DC9306E452C_13</vt:lpwstr>
  </property>
</Properties>
</file>