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甘肃圣康源生物科技有限公司</w:t>
      </w:r>
    </w:p>
    <w:p>
      <w:pPr>
        <w:spacing w:before="156" w:line="366" w:lineRule="auto"/>
        <w:ind w:left="1966" w:right="713" w:hanging="1221"/>
        <w:jc w:val="center"/>
        <w:rPr>
          <w:rFonts w:ascii="仿宋" w:hAnsi="仿宋" w:eastAsia="仿宋" w:cs="仿宋"/>
          <w:sz w:val="48"/>
          <w:szCs w:val="48"/>
        </w:rPr>
      </w:pPr>
      <w:r>
        <w:rPr>
          <w:rFonts w:hint="eastAsia" w:ascii="仿宋" w:hAnsi="仿宋" w:eastAsia="仿宋" w:cs="仿宋"/>
          <w:spacing w:val="-1"/>
          <w:sz w:val="48"/>
          <w:szCs w:val="48"/>
          <w:lang w:eastAsia="zh-CN"/>
          <w14:textOutline w14:w="6096" w14:cap="flat" w14:cmpd="sng">
            <w14:solidFill>
              <w14:srgbClr w14:val="000000"/>
            </w14:solidFill>
            <w14:prstDash w14:val="solid"/>
            <w14:miter w14:val="0"/>
          </w14:textOutline>
        </w:rPr>
        <w:t>1000吨菜粕</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SKY-CG-CP-20240117</w:t>
      </w:r>
    </w:p>
    <w:p>
      <w:pPr>
        <w:spacing w:before="234" w:line="368" w:lineRule="auto"/>
        <w:ind w:left="1373" w:right="1070" w:hanging="38"/>
        <w:rPr>
          <w:rFonts w:hint="default" w:ascii="仿宋" w:hAnsi="仿宋" w:eastAsia="仿宋" w:cs="仿宋"/>
          <w:sz w:val="32"/>
          <w:szCs w:val="32"/>
          <w:lang w:val="en-US"/>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圣康源生物科技有限公司</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3"/>
          <w:sz w:val="32"/>
          <w:szCs w:val="32"/>
          <w14:textOutline w14:w="4064" w14:cap="flat" w14:cmpd="sng">
            <w14:solidFill>
              <w14:srgbClr w14:val="000000"/>
            </w14:solidFill>
            <w14:prstDash w14:val="solid"/>
            <w14:miter w14:val="0"/>
          </w14:textOutline>
        </w:rPr>
        <w:t>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一</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95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90"/>
        <w:gridCol w:w="6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甘肃圣康源生物科技有限公司</w:t>
            </w:r>
            <w:r>
              <w:rPr>
                <w:rFonts w:hint="eastAsia" w:ascii="仿宋" w:hAnsi="仿宋" w:eastAsia="仿宋" w:cs="仿宋"/>
                <w:spacing w:val="-2"/>
                <w:position w:val="17"/>
                <w:sz w:val="24"/>
                <w:szCs w:val="24"/>
                <w:lang w:val="en-US" w:eastAsia="zh-CN"/>
              </w:rPr>
              <w:t>1000吨菜粕</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val="en-US" w:eastAsia="zh-CN"/>
              </w:rPr>
              <w:t>石岗墩开发区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根据圣康源月计划进行供货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甘肃圣康源生物科技有限公司</w:t>
            </w:r>
            <w:r>
              <w:rPr>
                <w:rFonts w:hint="eastAsia" w:ascii="仿宋" w:hAnsi="仿宋" w:eastAsia="仿宋" w:cs="仿宋"/>
                <w:sz w:val="24"/>
                <w:szCs w:val="24"/>
                <w:vertAlign w:val="baseline"/>
                <w:lang w:val="en-US" w:eastAsia="zh-CN"/>
              </w:rPr>
              <w:t>1000吨菜粕</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90"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585"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 xml:space="preserve">    </w:t>
            </w:r>
            <w:r>
              <w:rPr>
                <w:rFonts w:ascii="仿宋" w:hAnsi="仿宋" w:eastAsia="仿宋" w:cs="仿宋"/>
                <w:spacing w:val="-11"/>
                <w:sz w:val="24"/>
                <w:szCs w:val="24"/>
              </w:rPr>
              <w:t>截止时间：202</w:t>
            </w:r>
            <w:r>
              <w:rPr>
                <w:rFonts w:hint="eastAsia" w:ascii="仿宋" w:hAnsi="仿宋" w:eastAsia="仿宋" w:cs="仿宋"/>
                <w:spacing w:val="-11"/>
                <w:sz w:val="24"/>
                <w:szCs w:val="24"/>
                <w:lang w:val="en-US" w:eastAsia="zh-CN"/>
              </w:rPr>
              <w:t>4</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01</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17</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14</w:t>
            </w:r>
            <w:bookmarkStart w:id="0" w:name="_GoBack"/>
            <w:bookmarkEnd w:id="0"/>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 xml:space="preserve">gansu_qjmy_ts@163.com；     </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9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58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9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58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04" w:firstLineChars="700"/>
        <w:textAlignment w:val="baseline"/>
        <w:rPr>
          <w:b/>
          <w:sz w:val="24"/>
        </w:rPr>
      </w:pPr>
      <w:r>
        <w:rPr>
          <w:rFonts w:hint="eastAsia" w:ascii="宋体" w:hAnsi="宋体" w:eastAsia="宋体" w:cs="宋体"/>
          <w:b w:val="0"/>
          <w:bCs w:val="0"/>
          <w:spacing w:val="-4"/>
          <w:sz w:val="48"/>
          <w:szCs w:val="48"/>
        </w:rPr>
        <w:t xml:space="preserve"> </w:t>
      </w:r>
      <w:r>
        <w:rPr>
          <w:rFonts w:hint="eastAsia" w:ascii="宋体" w:hAnsi="宋体" w:eastAsia="宋体" w:cs="宋体"/>
          <w:b w:val="0"/>
          <w:bCs w:val="0"/>
          <w:spacing w:val="-3"/>
          <w:sz w:val="48"/>
          <w:szCs w:val="48"/>
          <w:lang w:val="en-US" w:eastAsia="zh-CN"/>
          <w14:textOutline w14:w="5587" w14:cap="flat" w14:cmpd="sng">
            <w14:solidFill>
              <w14:srgbClr w14:val="000000"/>
            </w14:solidFill>
            <w14:prstDash w14:val="solid"/>
            <w14:miter w14:val="0"/>
          </w14:textOutline>
        </w:rPr>
        <w:t>质量标准</w:t>
      </w:r>
    </w:p>
    <w:p>
      <w:pPr>
        <w:pStyle w:val="2"/>
        <w:rPr>
          <w:rFonts w:hint="default"/>
          <w:b/>
          <w:bCs/>
          <w:sz w:val="36"/>
          <w:szCs w:val="36"/>
          <w:lang w:val="en-US" w:eastAsia="zh-CN"/>
        </w:rPr>
      </w:pPr>
      <w:r>
        <w:rPr>
          <w:rFonts w:hint="eastAsia"/>
          <w:b/>
          <w:bCs/>
          <w:sz w:val="36"/>
          <w:szCs w:val="36"/>
          <w:lang w:val="en-US" w:eastAsia="zh-CN"/>
        </w:rPr>
        <w:t>菜粕</w:t>
      </w:r>
    </w:p>
    <w:p>
      <w:pPr>
        <w:pStyle w:val="2"/>
        <w:keepNext w:val="0"/>
        <w:keepLines w:val="0"/>
        <w:pageBreakBefore w:val="0"/>
        <w:widowControl/>
        <w:numPr>
          <w:ilvl w:val="0"/>
          <w:numId w:val="3"/>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感官指标：</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firstLine="512" w:firstLineChars="200"/>
        <w:textAlignment w:val="baseline"/>
        <w:rPr>
          <w:rFonts w:hint="eastAsia" w:ascii="仿宋" w:hAnsi="仿宋" w:eastAsia="仿宋" w:cs="仿宋"/>
          <w:b w:val="0"/>
          <w:bCs w:val="0"/>
          <w:spacing w:val="8"/>
          <w:sz w:val="24"/>
          <w:szCs w:val="24"/>
          <w:lang w:val="en-US" w:eastAsia="zh-CN"/>
        </w:rPr>
      </w:pPr>
      <w:r>
        <w:rPr>
          <w:rFonts w:hint="eastAsia" w:ascii="仿宋" w:hAnsi="仿宋" w:eastAsia="仿宋" w:cs="仿宋"/>
          <w:b w:val="0"/>
          <w:bCs w:val="0"/>
          <w:spacing w:val="8"/>
          <w:sz w:val="24"/>
          <w:szCs w:val="24"/>
          <w:lang w:val="en-US" w:eastAsia="zh-CN"/>
        </w:rPr>
        <w:t>黄色至褐色，呈碎片或粗粉状，色泽新鲜一致，无霉变、结块、掺假、炭化。具有油香味，尝之有苦味，不可有发酵、发霉及异味异臭。</w:t>
      </w: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b w:val="0"/>
          <w:bCs w:val="0"/>
          <w:sz w:val="32"/>
          <w:szCs w:val="21"/>
          <w:lang w:val="en-US" w:eastAsia="zh-CN"/>
        </w:rPr>
      </w:pPr>
      <w:r>
        <w:rPr>
          <w:rFonts w:hint="eastAsia" w:ascii="仿宋" w:hAnsi="仿宋" w:eastAsia="仿宋" w:cs="仿宋"/>
          <w:b/>
          <w:bCs/>
          <w:spacing w:val="8"/>
          <w:sz w:val="28"/>
          <w:szCs w:val="28"/>
          <w:lang w:val="en-US" w:eastAsia="zh-CN"/>
        </w:rPr>
        <w:t>2、技术指标</w:t>
      </w:r>
      <w:r>
        <w:rPr>
          <w:rFonts w:hint="eastAsia" w:ascii="仿宋" w:hAnsi="仿宋" w:eastAsia="仿宋" w:cs="仿宋"/>
          <w:spacing w:val="8"/>
          <w:sz w:val="28"/>
          <w:szCs w:val="28"/>
          <w:lang w:val="en-US" w:eastAsia="zh-CN"/>
        </w:rPr>
        <w:t>：</w:t>
      </w:r>
    </w:p>
    <w:tbl>
      <w:tblPr>
        <w:tblStyle w:val="4"/>
        <w:tblpPr w:leftFromText="180" w:rightFromText="180" w:vertAnchor="text" w:horzAnchor="page" w:tblpX="1014" w:tblpY="258"/>
        <w:tblOverlap w:val="never"/>
        <w:tblW w:w="10351"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043"/>
        <w:gridCol w:w="3912"/>
        <w:gridCol w:w="1102"/>
        <w:gridCol w:w="1656"/>
        <w:gridCol w:w="1353"/>
        <w:gridCol w:w="128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5" w:hRule="atLeast"/>
        </w:trPr>
        <w:tc>
          <w:tcPr>
            <w:tcW w:w="4955" w:type="dxa"/>
            <w:gridSpan w:val="2"/>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 目</w:t>
            </w:r>
          </w:p>
        </w:tc>
        <w:tc>
          <w:tcPr>
            <w:tcW w:w="2758" w:type="dxa"/>
            <w:gridSpan w:val="2"/>
            <w:noWrap w:val="0"/>
            <w:vAlign w:val="top"/>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标准值</w:t>
            </w:r>
          </w:p>
        </w:tc>
        <w:tc>
          <w:tcPr>
            <w:tcW w:w="1353" w:type="dxa"/>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85" w:type="dxa"/>
            <w:vMerge w:val="restart"/>
            <w:noWrap w:val="0"/>
            <w:vAlign w:val="top"/>
          </w:tcPr>
          <w:p>
            <w:pPr>
              <w:pStyle w:val="2"/>
              <w:ind w:firstLine="440" w:firstLineChars="200"/>
              <w:rPr>
                <w:rFonts w:hint="eastAsia" w:ascii="仿宋" w:hAnsi="仿宋" w:eastAsia="仿宋" w:cs="仿宋"/>
                <w:b w:val="0"/>
                <w:bCs w:val="0"/>
                <w:sz w:val="22"/>
                <w:szCs w:val="16"/>
                <w:lang w:val="en-US" w:eastAsia="zh-CN"/>
              </w:rPr>
            </w:pPr>
          </w:p>
          <w:p>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10" w:hRule="atLeast"/>
        </w:trPr>
        <w:tc>
          <w:tcPr>
            <w:tcW w:w="4955" w:type="dxa"/>
            <w:gridSpan w:val="2"/>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1102" w:type="dxa"/>
            <w:noWrap w:val="0"/>
            <w:vAlign w:val="top"/>
          </w:tcPr>
          <w:p>
            <w:pPr>
              <w:pStyle w:val="2"/>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一级</w:t>
            </w:r>
          </w:p>
        </w:tc>
        <w:tc>
          <w:tcPr>
            <w:tcW w:w="1656"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二级</w:t>
            </w:r>
          </w:p>
        </w:tc>
        <w:tc>
          <w:tcPr>
            <w:tcW w:w="1353" w:type="dxa"/>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1285" w:type="dxa"/>
            <w:vMerge w:val="continue"/>
            <w:tcBorders>
              <w:top w:val="nil"/>
            </w:tcBorders>
            <w:noWrap w:val="0"/>
            <w:vAlign w:val="top"/>
          </w:tcPr>
          <w:p>
            <w:pPr>
              <w:pStyle w:val="2"/>
              <w:ind w:firstLine="440" w:firstLineChars="200"/>
              <w:rPr>
                <w:rFonts w:hint="eastAsia" w:ascii="仿宋" w:hAnsi="仿宋" w:eastAsia="仿宋" w:cs="仿宋"/>
                <w:b w:val="0"/>
                <w:bCs w:val="0"/>
                <w:sz w:val="22"/>
                <w:szCs w:val="16"/>
                <w:lang w:val="en-US" w:eastAsia="zh-CN"/>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294" w:hRule="atLeast"/>
        </w:trPr>
        <w:tc>
          <w:tcPr>
            <w:tcW w:w="1043" w:type="dxa"/>
            <w:noWrap w:val="0"/>
            <w:vAlign w:val="top"/>
          </w:tcPr>
          <w:p>
            <w:pPr>
              <w:pStyle w:val="2"/>
              <w:ind w:firstLine="440" w:firstLineChars="200"/>
              <w:rPr>
                <w:rFonts w:hint="eastAsia" w:ascii="仿宋" w:hAnsi="仿宋" w:eastAsia="仿宋" w:cs="仿宋"/>
                <w:b w:val="0"/>
                <w:bCs w:val="0"/>
                <w:sz w:val="22"/>
                <w:szCs w:val="16"/>
                <w:lang w:val="en-US" w:eastAsia="zh-CN"/>
              </w:rPr>
            </w:pPr>
          </w:p>
        </w:tc>
        <w:tc>
          <w:tcPr>
            <w:tcW w:w="3912"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三聚氰胺（mg/kg）</w:t>
            </w:r>
          </w:p>
        </w:tc>
        <w:tc>
          <w:tcPr>
            <w:tcW w:w="2758" w:type="dxa"/>
            <w:gridSpan w:val="2"/>
            <w:noWrap w:val="0"/>
            <w:vAlign w:val="top"/>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353" w:type="dxa"/>
            <w:noWrap w:val="0"/>
            <w:vAlign w:val="top"/>
          </w:tcPr>
          <w:p>
            <w:pPr>
              <w:pStyle w:val="2"/>
              <w:ind w:firstLine="440" w:firstLineChars="2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w:t>
            </w:r>
          </w:p>
        </w:tc>
        <w:tc>
          <w:tcPr>
            <w:tcW w:w="1285" w:type="dxa"/>
            <w:noWrap w:val="0"/>
            <w:vAlign w:val="top"/>
          </w:tcPr>
          <w:p>
            <w:pPr>
              <w:pStyle w:val="2"/>
              <w:ind w:firstLine="660" w:firstLineChars="300"/>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bl>
    <w:tbl>
      <w:tblPr>
        <w:tblStyle w:val="4"/>
        <w:tblpPr w:leftFromText="180" w:rightFromText="180" w:vertAnchor="text" w:horzAnchor="page" w:tblpX="1029" w:tblpY="9"/>
        <w:tblOverlap w:val="never"/>
        <w:tblW w:w="103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20"/>
        <w:gridCol w:w="3952"/>
        <w:gridCol w:w="1103"/>
        <w:gridCol w:w="1620"/>
        <w:gridCol w:w="1365"/>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5" w:hRule="atLeast"/>
        </w:trPr>
        <w:tc>
          <w:tcPr>
            <w:tcW w:w="102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风险指标</w:t>
            </w: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黄曲霉毒素B1（μg/kg）</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5" w:hRule="atLeast"/>
        </w:trPr>
        <w:tc>
          <w:tcPr>
            <w:tcW w:w="10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脱氧雪腐镰刀菌烯醇（呕吐毒素）（mg/kg）</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＞5</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55" w:hRule="atLeast"/>
        </w:trPr>
        <w:tc>
          <w:tcPr>
            <w:tcW w:w="1020" w:type="dxa"/>
            <w:vMerge w:val="restart"/>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理化指标</w:t>
            </w: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水分（%）</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≤12.0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＞13.0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3"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粗蛋白（%）</w:t>
            </w:r>
          </w:p>
        </w:tc>
        <w:tc>
          <w:tcPr>
            <w:tcW w:w="1103"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≥37.0</w:t>
            </w:r>
          </w:p>
        </w:tc>
        <w:tc>
          <w:tcPr>
            <w:tcW w:w="16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≥35.0</w:t>
            </w:r>
          </w:p>
        </w:tc>
        <w:tc>
          <w:tcPr>
            <w:tcW w:w="1365"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每级-1.2 %</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粗灰分（%）</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≤8.0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＞9</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粗纤维（%）</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≤14.0</w:t>
            </w:r>
          </w:p>
        </w:tc>
        <w:tc>
          <w:tcPr>
            <w:tcW w:w="1365" w:type="dxa"/>
            <w:noWrap w:val="0"/>
            <w:vAlign w:val="center"/>
          </w:tcPr>
          <w:p>
            <w:pPr>
              <w:pStyle w:val="2"/>
              <w:ind w:firstLine="440" w:firstLineChars="200"/>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＞15.0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10"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项目</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方法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退货值</w:t>
            </w:r>
          </w:p>
        </w:tc>
        <w:tc>
          <w:tcPr>
            <w:tcW w:w="1260"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检测要求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0"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restart"/>
            <w:noWrap w:val="0"/>
            <w:vAlign w:val="center"/>
          </w:tcPr>
          <w:p>
            <w:pPr>
              <w:pStyle w:val="2"/>
              <w:jc w:val="both"/>
              <w:rPr>
                <w:rFonts w:hint="eastAsia" w:ascii="仿宋" w:hAnsi="仿宋" w:eastAsia="仿宋" w:cs="仿宋"/>
                <w:b w:val="0"/>
                <w:bCs w:val="0"/>
                <w:sz w:val="22"/>
                <w:szCs w:val="16"/>
                <w:lang w:val="en-US" w:eastAsia="zh-CN"/>
              </w:rPr>
            </w:pPr>
          </w:p>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掺假检测（定性）</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镜检</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杂质＞2%</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4"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盐酸法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3952"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四氯化碳法</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必检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75" w:hRule="atLeast"/>
        </w:trPr>
        <w:tc>
          <w:tcPr>
            <w:tcW w:w="1020" w:type="dxa"/>
            <w:vMerge w:val="restart"/>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卫生指标</w:t>
            </w:r>
          </w:p>
        </w:tc>
        <w:tc>
          <w:tcPr>
            <w:tcW w:w="3952" w:type="dxa"/>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异硫氰酸酯（以丙烯基异硫氰酸酯计）</w:t>
            </w:r>
          </w:p>
        </w:tc>
        <w:tc>
          <w:tcPr>
            <w:tcW w:w="2723" w:type="dxa"/>
            <w:gridSpan w:val="2"/>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≤2000</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＞2160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1"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5055" w:type="dxa"/>
            <w:gridSpan w:val="2"/>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噁唑烷硫酮（以C₅H₇NOS计，mg/kg）</w:t>
            </w:r>
          </w:p>
        </w:tc>
        <w:tc>
          <w:tcPr>
            <w:tcW w:w="162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≤2500</w:t>
            </w:r>
          </w:p>
        </w:tc>
        <w:tc>
          <w:tcPr>
            <w:tcW w:w="1365"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＞2760</w:t>
            </w:r>
          </w:p>
        </w:tc>
        <w:tc>
          <w:tcPr>
            <w:tcW w:w="1260" w:type="dxa"/>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抽检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85" w:hRule="atLeast"/>
        </w:trPr>
        <w:tc>
          <w:tcPr>
            <w:tcW w:w="1020" w:type="dxa"/>
            <w:vMerge w:val="continue"/>
            <w:noWrap w:val="0"/>
            <w:vAlign w:val="center"/>
          </w:tcPr>
          <w:p>
            <w:pPr>
              <w:pStyle w:val="2"/>
              <w:ind w:firstLine="440" w:firstLineChars="200"/>
              <w:jc w:val="center"/>
              <w:rPr>
                <w:rFonts w:hint="eastAsia" w:ascii="仿宋" w:hAnsi="仿宋" w:eastAsia="仿宋" w:cs="仿宋"/>
                <w:b w:val="0"/>
                <w:bCs w:val="0"/>
                <w:sz w:val="22"/>
                <w:szCs w:val="16"/>
                <w:lang w:val="en-US" w:eastAsia="zh-CN"/>
              </w:rPr>
            </w:pPr>
          </w:p>
        </w:tc>
        <w:tc>
          <w:tcPr>
            <w:tcW w:w="9300" w:type="dxa"/>
            <w:gridSpan w:val="5"/>
            <w:noWrap w:val="0"/>
            <w:vAlign w:val="center"/>
          </w:tcPr>
          <w:p>
            <w:pPr>
              <w:pStyle w:val="2"/>
              <w:ind w:firstLine="440" w:firstLineChars="200"/>
              <w:jc w:val="center"/>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其他卫生指标执行GB13078-2017 规定标准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3" w:hRule="atLeast"/>
        </w:trPr>
        <w:tc>
          <w:tcPr>
            <w:tcW w:w="10320" w:type="dxa"/>
            <w:gridSpan w:val="6"/>
            <w:noWrap w:val="0"/>
            <w:vAlign w:val="center"/>
          </w:tcPr>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备注：</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1、呕吐毒素预警值为 1 mg/kg；</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2、理化指标为常态基础上的要求；</w:t>
            </w:r>
          </w:p>
          <w:p>
            <w:pPr>
              <w:pStyle w:val="2"/>
              <w:jc w:val="both"/>
              <w:rPr>
                <w:rFonts w:hint="eastAsia" w:ascii="仿宋" w:hAnsi="仿宋" w:eastAsia="仿宋" w:cs="仿宋"/>
                <w:b w:val="0"/>
                <w:bCs w:val="0"/>
                <w:sz w:val="22"/>
                <w:szCs w:val="16"/>
                <w:lang w:val="en-US" w:eastAsia="zh-CN"/>
              </w:rPr>
            </w:pPr>
            <w:r>
              <w:rPr>
                <w:rFonts w:hint="eastAsia" w:ascii="仿宋" w:hAnsi="仿宋" w:eastAsia="仿宋" w:cs="仿宋"/>
                <w:b w:val="0"/>
                <w:bCs w:val="0"/>
                <w:sz w:val="22"/>
                <w:szCs w:val="16"/>
                <w:lang w:val="en-US" w:eastAsia="zh-CN"/>
              </w:rPr>
              <w:t>3、风险指标和卫生指标不合格，拒收处置。</w:t>
            </w:r>
          </w:p>
        </w:tc>
      </w:tr>
    </w:tbl>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3、标签标识</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标签标识符合 GB 10648-2013中相关要求。</w:t>
      </w:r>
    </w:p>
    <w:p>
      <w:pPr>
        <w:pStyle w:val="2"/>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bCs/>
          <w:sz w:val="28"/>
          <w:szCs w:val="20"/>
          <w:lang w:val="en-US" w:eastAsia="zh-CN"/>
        </w:rPr>
      </w:pPr>
      <w:r>
        <w:rPr>
          <w:rFonts w:hint="eastAsia" w:ascii="仿宋" w:hAnsi="仿宋" w:eastAsia="仿宋" w:cs="仿宋"/>
          <w:b/>
          <w:bCs/>
          <w:sz w:val="28"/>
          <w:szCs w:val="20"/>
          <w:lang w:val="en-US" w:eastAsia="zh-CN"/>
        </w:rPr>
        <w:t>4、包装、运输和储存</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仿宋" w:hAnsi="仿宋" w:eastAsia="仿宋" w:cs="仿宋"/>
          <w:b w:val="0"/>
          <w:bCs w:val="0"/>
          <w:sz w:val="28"/>
          <w:szCs w:val="20"/>
          <w:lang w:val="en-US" w:eastAsia="zh-CN"/>
        </w:rPr>
      </w:pPr>
      <w:r>
        <w:rPr>
          <w:rFonts w:hint="eastAsia" w:ascii="仿宋" w:hAnsi="仿宋" w:eastAsia="仿宋" w:cs="仿宋"/>
          <w:b w:val="0"/>
          <w:bCs w:val="0"/>
          <w:sz w:val="28"/>
          <w:szCs w:val="20"/>
          <w:lang w:val="en-US" w:eastAsia="zh-CN"/>
        </w:rPr>
        <w:t>包装、运输和储存符合 GB/T23736-2009中的要求。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sectPr>
          <w:footerReference r:id="rId18" w:type="default"/>
          <w:pgSz w:w="11905" w:h="16840"/>
          <w:pgMar w:top="400" w:right="1284" w:bottom="615" w:left="1665" w:header="0" w:footer="454" w:gutter="0"/>
          <w:pgNumType w:fmt="numberInDash"/>
          <w:cols w:space="720" w:num="1"/>
        </w:sect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pacing w:line="318" w:lineRule="auto"/>
        <w:rPr>
          <w:rFonts w:ascii="Arial"/>
          <w:sz w:val="21"/>
        </w:rPr>
      </w:pPr>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tblInd w:w="36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pStyle w:val="2"/>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甘肃圣康源生物科技有限公司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 xml:space="preserve">甘肃圣康源生物科技有限公司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0A15B8"/>
    <w:multiLevelType w:val="singleLevel"/>
    <w:tmpl w:val="A20A15B8"/>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78925D1"/>
    <w:rsid w:val="0D400D65"/>
    <w:rsid w:val="10A3562E"/>
    <w:rsid w:val="1148652E"/>
    <w:rsid w:val="131A3B1D"/>
    <w:rsid w:val="15050A4A"/>
    <w:rsid w:val="1F5E2442"/>
    <w:rsid w:val="20C560FB"/>
    <w:rsid w:val="22887589"/>
    <w:rsid w:val="23841BC4"/>
    <w:rsid w:val="29B96BA9"/>
    <w:rsid w:val="2B124778"/>
    <w:rsid w:val="2B825EB4"/>
    <w:rsid w:val="385C0B47"/>
    <w:rsid w:val="3A16031F"/>
    <w:rsid w:val="3A3D1515"/>
    <w:rsid w:val="3E431CA2"/>
    <w:rsid w:val="40081B38"/>
    <w:rsid w:val="40A436CC"/>
    <w:rsid w:val="415A1EAD"/>
    <w:rsid w:val="43881600"/>
    <w:rsid w:val="4445400D"/>
    <w:rsid w:val="44C33E45"/>
    <w:rsid w:val="466D776C"/>
    <w:rsid w:val="53252A3D"/>
    <w:rsid w:val="53C70BC0"/>
    <w:rsid w:val="59270DD1"/>
    <w:rsid w:val="5B646073"/>
    <w:rsid w:val="5F4372CB"/>
    <w:rsid w:val="62970E7C"/>
    <w:rsid w:val="631725C7"/>
    <w:rsid w:val="63A72525"/>
    <w:rsid w:val="67B57236"/>
    <w:rsid w:val="6D782F21"/>
    <w:rsid w:val="707B5D4B"/>
    <w:rsid w:val="716841A4"/>
    <w:rsid w:val="72D8479F"/>
    <w:rsid w:val="73DB5347"/>
    <w:rsid w:val="74545043"/>
    <w:rsid w:val="74CC105E"/>
    <w:rsid w:val="76C014C1"/>
    <w:rsid w:val="773C3348"/>
    <w:rsid w:val="7AF73267"/>
    <w:rsid w:val="7B28778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w:basedOn w:val="1"/>
    <w:autoRedefine/>
    <w:qFormat/>
    <w:uiPriority w:val="1"/>
    <w:rPr>
      <w:rFonts w:ascii="宋体" w:hAnsi="宋体" w:eastAsia="宋体" w:cs="宋体"/>
      <w:sz w:val="24"/>
      <w:szCs w:val="24"/>
      <w:lang w:val="zh-CN" w:eastAsia="zh-CN" w:bidi="zh-CN"/>
    </w:rPr>
  </w:style>
  <w:style w:type="paragraph" w:styleId="3">
    <w:name w:val="footer"/>
    <w:basedOn w:val="1"/>
    <w:autoRedefine/>
    <w:qFormat/>
    <w:uiPriority w:val="0"/>
    <w:pPr>
      <w:tabs>
        <w:tab w:val="center" w:pos="4153"/>
        <w:tab w:val="right" w:pos="8306"/>
      </w:tabs>
      <w:snapToGrid w:val="0"/>
      <w:jc w:val="left"/>
    </w:pPr>
    <w:rPr>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autoRedefine/>
    <w:semiHidden/>
    <w:unhideWhenUsed/>
    <w:qFormat/>
    <w:uiPriority w:val="0"/>
    <w:tblPr>
      <w:tblCellMar>
        <w:top w:w="0" w:type="dxa"/>
        <w:left w:w="0" w:type="dxa"/>
        <w:bottom w:w="0" w:type="dxa"/>
        <w:right w:w="0" w:type="dxa"/>
      </w:tblCellMar>
    </w:tblPr>
  </w:style>
  <w:style w:type="paragraph" w:customStyle="1" w:styleId="8">
    <w:name w:val="Table Paragraph"/>
    <w:basedOn w:val="1"/>
    <w:autoRedefine/>
    <w:qFormat/>
    <w:uiPriority w:val="1"/>
    <w:rPr>
      <w:rFonts w:ascii="宋体" w:hAnsi="宋体" w:eastAsia="宋体" w:cs="宋体"/>
      <w:lang w:val="zh-CN" w:eastAsia="zh-CN" w:bidi="zh-CN"/>
    </w:rPr>
  </w:style>
  <w:style w:type="paragraph" w:customStyle="1" w:styleId="9">
    <w:name w:val="55550"/>
    <w:basedOn w:val="1"/>
    <w:autoRedefine/>
    <w:qFormat/>
    <w:uiPriority w:val="0"/>
    <w:pPr>
      <w:jc w:val="center"/>
    </w:pPr>
    <w:rPr>
      <w:rFonts w:cs="Times New Roman"/>
      <w:szCs w:val="22"/>
    </w:rPr>
  </w:style>
  <w:style w:type="paragraph" w:customStyle="1" w:styleId="10">
    <w:name w:val="段"/>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1972</Words>
  <Characters>2186</Characters>
  <TotalTime>15</TotalTime>
  <ScaleCrop>false</ScaleCrop>
  <LinksUpToDate>false</LinksUpToDate>
  <CharactersWithSpaces>3197</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2024-01-12T01:42:00Z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