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500吨棉粕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SKY-CG-MP-20231113</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500吨棉粕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500吨棉粕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13</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棉粕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1、</w:t>
      </w: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颜色为黄褐色或金黄色，色泽均匀一致；具有产品固有的气味，无异味，无异臭；呈小片状或粗粉状，有时夹杂小颗粒，无霉变、无结块、无污染、无杂物。</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738"/>
        <w:gridCol w:w="1568"/>
        <w:gridCol w:w="1285"/>
        <w:gridCol w:w="1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 w:hRule="atLeast"/>
          <w:jc w:val="center"/>
        </w:trPr>
        <w:tc>
          <w:tcPr>
            <w:tcW w:w="4542" w:type="dxa"/>
            <w:gridSpan w:val="2"/>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306" w:type="dxa"/>
            <w:gridSpan w:val="2"/>
          </w:tcPr>
          <w:p>
            <w:pPr>
              <w:pStyle w:val="8"/>
              <w:spacing w:before="119"/>
              <w:ind w:left="1147" w:right="1115"/>
              <w:jc w:val="center"/>
              <w:rPr>
                <w:rFonts w:hint="eastAsia" w:ascii="仿宋" w:hAnsi="仿宋" w:eastAsia="仿宋" w:cs="仿宋"/>
                <w:b/>
                <w:sz w:val="18"/>
              </w:rPr>
            </w:pPr>
            <w:r>
              <w:rPr>
                <w:rFonts w:hint="eastAsia" w:ascii="仿宋" w:hAnsi="仿宋" w:eastAsia="仿宋" w:cs="仿宋"/>
                <w:b/>
                <w:sz w:val="18"/>
              </w:rPr>
              <w:t>标准值</w:t>
            </w:r>
          </w:p>
        </w:tc>
        <w:tc>
          <w:tcPr>
            <w:tcW w:w="1285" w:type="dxa"/>
            <w:vMerge w:val="restart"/>
          </w:tcPr>
          <w:p>
            <w:pPr>
              <w:pStyle w:val="8"/>
              <w:rPr>
                <w:rFonts w:hint="eastAsia" w:ascii="仿宋" w:hAnsi="仿宋" w:eastAsia="仿宋" w:cs="仿宋"/>
                <w:b/>
                <w:sz w:val="18"/>
              </w:rPr>
            </w:pPr>
          </w:p>
          <w:p>
            <w:pPr>
              <w:pStyle w:val="8"/>
              <w:spacing w:before="126"/>
              <w:ind w:left="383"/>
              <w:rPr>
                <w:rFonts w:hint="eastAsia" w:ascii="仿宋" w:hAnsi="仿宋" w:eastAsia="仿宋" w:cs="仿宋"/>
                <w:b/>
                <w:sz w:val="18"/>
              </w:rPr>
            </w:pPr>
            <w:r>
              <w:rPr>
                <w:rFonts w:hint="eastAsia" w:ascii="仿宋" w:hAnsi="仿宋" w:eastAsia="仿宋" w:cs="仿宋"/>
                <w:b/>
                <w:sz w:val="18"/>
              </w:rPr>
              <w:t>退货值</w:t>
            </w:r>
          </w:p>
        </w:tc>
        <w:tc>
          <w:tcPr>
            <w:tcW w:w="1163" w:type="dxa"/>
            <w:vMerge w:val="restart"/>
          </w:tcPr>
          <w:p>
            <w:pPr>
              <w:pStyle w:val="8"/>
              <w:rPr>
                <w:rFonts w:hint="eastAsia" w:ascii="仿宋" w:hAnsi="仿宋" w:eastAsia="仿宋" w:cs="仿宋"/>
                <w:b/>
                <w:sz w:val="18"/>
              </w:rPr>
            </w:pPr>
          </w:p>
          <w:p>
            <w:pPr>
              <w:pStyle w:val="8"/>
              <w:spacing w:before="126"/>
              <w:ind w:left="164"/>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738" w:type="dxa"/>
          </w:tcPr>
          <w:p>
            <w:pPr>
              <w:pStyle w:val="8"/>
              <w:spacing w:before="122"/>
              <w:ind w:left="608" w:right="577"/>
              <w:jc w:val="center"/>
              <w:rPr>
                <w:rFonts w:hint="eastAsia" w:ascii="仿宋" w:hAnsi="仿宋" w:eastAsia="仿宋" w:cs="仿宋"/>
                <w:b/>
                <w:sz w:val="18"/>
              </w:rPr>
            </w:pPr>
            <w:r>
              <w:rPr>
                <w:rFonts w:hint="eastAsia" w:ascii="仿宋" w:hAnsi="仿宋" w:eastAsia="仿宋" w:cs="仿宋"/>
                <w:b/>
                <w:sz w:val="18"/>
              </w:rPr>
              <w:t>一级</w:t>
            </w:r>
          </w:p>
        </w:tc>
        <w:tc>
          <w:tcPr>
            <w:tcW w:w="1568" w:type="dxa"/>
          </w:tcPr>
          <w:p>
            <w:pPr>
              <w:pStyle w:val="8"/>
              <w:spacing w:before="122"/>
              <w:ind w:left="612"/>
              <w:rPr>
                <w:rFonts w:hint="eastAsia" w:ascii="仿宋" w:hAnsi="仿宋" w:eastAsia="仿宋" w:cs="仿宋"/>
                <w:b/>
                <w:sz w:val="18"/>
              </w:rPr>
            </w:pPr>
            <w:r>
              <w:rPr>
                <w:rFonts w:hint="eastAsia" w:ascii="仿宋" w:hAnsi="仿宋" w:eastAsia="仿宋" w:cs="仿宋"/>
                <w:b/>
                <w:sz w:val="18"/>
              </w:rPr>
              <w:t>二级</w:t>
            </w:r>
          </w:p>
        </w:tc>
        <w:tc>
          <w:tcPr>
            <w:tcW w:w="1285" w:type="dxa"/>
            <w:vMerge w:val="continue"/>
            <w:tcBorders>
              <w:top w:val="nil"/>
            </w:tcBorders>
          </w:tcPr>
          <w:p>
            <w:pPr>
              <w:rPr>
                <w:rFonts w:hint="eastAsia" w:ascii="仿宋" w:hAnsi="仿宋" w:eastAsia="仿宋" w:cs="仿宋"/>
                <w:sz w:val="2"/>
                <w:szCs w:val="2"/>
              </w:rPr>
            </w:pPr>
          </w:p>
        </w:tc>
        <w:tc>
          <w:tcPr>
            <w:tcW w:w="1163"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35"/>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三聚氰胺（mg/kg)</w:t>
            </w:r>
          </w:p>
        </w:tc>
        <w:tc>
          <w:tcPr>
            <w:tcW w:w="3306" w:type="dxa"/>
            <w:gridSpan w:val="2"/>
          </w:tcPr>
          <w:p>
            <w:pPr>
              <w:pStyle w:val="8"/>
              <w:spacing w:before="121"/>
              <w:ind w:left="1144" w:right="1115"/>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1"/>
              <w:ind w:left="210" w:right="179"/>
              <w:jc w:val="center"/>
              <w:rPr>
                <w:rFonts w:hint="eastAsia" w:ascii="仿宋" w:hAnsi="仿宋" w:eastAsia="仿宋" w:cs="仿宋"/>
                <w:sz w:val="18"/>
              </w:rPr>
            </w:pPr>
            <w:r>
              <w:rPr>
                <w:rFonts w:hint="eastAsia" w:ascii="仿宋" w:hAnsi="仿宋" w:eastAsia="仿宋" w:cs="仿宋"/>
                <w:sz w:val="18"/>
              </w:rPr>
              <w:t>＞2</w:t>
            </w:r>
          </w:p>
        </w:tc>
        <w:tc>
          <w:tcPr>
            <w:tcW w:w="1163" w:type="dxa"/>
          </w:tcPr>
          <w:p>
            <w:pPr>
              <w:pStyle w:val="8"/>
              <w:spacing w:before="121"/>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8"/>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z w:val="18"/>
              </w:rPr>
              <w:t>)</w:t>
            </w:r>
          </w:p>
        </w:tc>
        <w:tc>
          <w:tcPr>
            <w:tcW w:w="3306" w:type="dxa"/>
            <w:gridSpan w:val="2"/>
          </w:tcPr>
          <w:p>
            <w:pPr>
              <w:pStyle w:val="8"/>
              <w:spacing w:before="120"/>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9"/>
              <w:rPr>
                <w:rFonts w:hint="eastAsia" w:ascii="仿宋" w:hAnsi="仿宋" w:eastAsia="仿宋" w:cs="仿宋"/>
                <w:b/>
                <w:sz w:val="23"/>
              </w:rPr>
            </w:pPr>
          </w:p>
          <w:p>
            <w:pPr>
              <w:pStyle w:val="8"/>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水分（%）</w:t>
            </w:r>
          </w:p>
        </w:tc>
        <w:tc>
          <w:tcPr>
            <w:tcW w:w="3306" w:type="dxa"/>
            <w:gridSpan w:val="2"/>
          </w:tcPr>
          <w:p>
            <w:pPr>
              <w:pStyle w:val="8"/>
              <w:spacing w:before="120"/>
              <w:ind w:left="1146"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20"/>
              <w:ind w:left="208" w:right="179"/>
              <w:jc w:val="center"/>
              <w:rPr>
                <w:rFonts w:hint="eastAsia" w:ascii="仿宋" w:hAnsi="仿宋" w:eastAsia="仿宋" w:cs="仿宋"/>
                <w:sz w:val="18"/>
              </w:rPr>
            </w:pPr>
            <w:r>
              <w:rPr>
                <w:rFonts w:hint="eastAsia" w:ascii="仿宋" w:hAnsi="仿宋" w:eastAsia="仿宋" w:cs="仿宋"/>
                <w:sz w:val="18"/>
              </w:rPr>
              <w:t>＞13.0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9"/>
              <w:ind w:left="114"/>
              <w:rPr>
                <w:rFonts w:hint="eastAsia" w:ascii="仿宋" w:hAnsi="仿宋" w:eastAsia="仿宋" w:cs="仿宋"/>
                <w:sz w:val="18"/>
              </w:rPr>
            </w:pPr>
            <w:r>
              <w:rPr>
                <w:rFonts w:hint="eastAsia" w:ascii="仿宋" w:hAnsi="仿宋" w:eastAsia="仿宋" w:cs="仿宋"/>
                <w:sz w:val="18"/>
              </w:rPr>
              <w:t>粗蛋白（%）</w:t>
            </w:r>
          </w:p>
        </w:tc>
        <w:tc>
          <w:tcPr>
            <w:tcW w:w="1738" w:type="dxa"/>
          </w:tcPr>
          <w:p>
            <w:pPr>
              <w:pStyle w:val="8"/>
              <w:spacing w:before="119"/>
              <w:ind w:right="579" w:firstLine="540" w:firstLineChars="300"/>
              <w:jc w:val="both"/>
              <w:rPr>
                <w:rFonts w:hint="eastAsia" w:ascii="仿宋" w:hAnsi="仿宋" w:eastAsia="仿宋" w:cs="仿宋"/>
                <w:sz w:val="18"/>
              </w:rPr>
            </w:pPr>
            <w:r>
              <w:rPr>
                <w:rFonts w:hint="eastAsia" w:ascii="仿宋" w:hAnsi="仿宋" w:eastAsia="仿宋" w:cs="仿宋"/>
                <w:sz w:val="18"/>
              </w:rPr>
              <w:t>≥46.0</w:t>
            </w:r>
          </w:p>
        </w:tc>
        <w:tc>
          <w:tcPr>
            <w:tcW w:w="1568" w:type="dxa"/>
          </w:tcPr>
          <w:p>
            <w:pPr>
              <w:pStyle w:val="8"/>
              <w:spacing w:before="119"/>
              <w:ind w:left="564"/>
              <w:rPr>
                <w:rFonts w:hint="eastAsia" w:ascii="仿宋" w:hAnsi="仿宋" w:eastAsia="仿宋" w:cs="仿宋"/>
                <w:sz w:val="18"/>
              </w:rPr>
            </w:pPr>
            <w:r>
              <w:rPr>
                <w:rFonts w:hint="eastAsia" w:ascii="仿宋" w:hAnsi="仿宋" w:eastAsia="仿宋" w:cs="仿宋"/>
                <w:sz w:val="18"/>
              </w:rPr>
              <w:t>≥42.0</w:t>
            </w:r>
          </w:p>
        </w:tc>
        <w:tc>
          <w:tcPr>
            <w:tcW w:w="1285" w:type="dxa"/>
          </w:tcPr>
          <w:p>
            <w:pPr>
              <w:pStyle w:val="8"/>
              <w:spacing w:before="119"/>
              <w:ind w:right="179"/>
              <w:jc w:val="both"/>
              <w:rPr>
                <w:rFonts w:hint="eastAsia" w:ascii="仿宋" w:hAnsi="仿宋" w:eastAsia="仿宋" w:cs="仿宋"/>
                <w:sz w:val="18"/>
              </w:rPr>
            </w:pPr>
            <w:r>
              <w:rPr>
                <w:rFonts w:hint="eastAsia" w:ascii="仿宋" w:hAnsi="仿宋" w:eastAsia="仿宋" w:cs="仿宋"/>
                <w:sz w:val="18"/>
              </w:rPr>
              <w:t>每级-1.3 %</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14"/>
              <w:rPr>
                <w:rFonts w:hint="eastAsia" w:ascii="仿宋" w:hAnsi="仿宋" w:eastAsia="仿宋" w:cs="仿宋"/>
                <w:sz w:val="18"/>
              </w:rPr>
            </w:pPr>
            <w:r>
              <w:rPr>
                <w:rFonts w:hint="eastAsia" w:ascii="仿宋" w:hAnsi="仿宋" w:eastAsia="仿宋" w:cs="仿宋"/>
                <w:sz w:val="18"/>
              </w:rPr>
              <w:t>粗灰分（%）</w:t>
            </w:r>
          </w:p>
        </w:tc>
        <w:tc>
          <w:tcPr>
            <w:tcW w:w="3306" w:type="dxa"/>
            <w:gridSpan w:val="2"/>
          </w:tcPr>
          <w:p>
            <w:pPr>
              <w:pStyle w:val="8"/>
              <w:spacing w:before="122"/>
              <w:ind w:left="1148" w:right="1115"/>
              <w:jc w:val="center"/>
              <w:rPr>
                <w:rFonts w:hint="eastAsia" w:ascii="仿宋" w:hAnsi="仿宋" w:eastAsia="仿宋" w:cs="仿宋"/>
                <w:sz w:val="18"/>
              </w:rPr>
            </w:pPr>
            <w:r>
              <w:rPr>
                <w:rFonts w:hint="eastAsia" w:ascii="仿宋" w:hAnsi="仿宋" w:eastAsia="仿宋" w:cs="仿宋"/>
                <w:sz w:val="18"/>
              </w:rPr>
              <w:t>≤8.0</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＞9.0</w:t>
            </w:r>
          </w:p>
        </w:tc>
        <w:tc>
          <w:tcPr>
            <w:tcW w:w="1163" w:type="dxa"/>
          </w:tcPr>
          <w:p>
            <w:pPr>
              <w:pStyle w:val="8"/>
              <w:spacing w:before="122"/>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棉絮（%）</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＞6.0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＞14.0</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306" w:type="dxa"/>
            <w:gridSpan w:val="2"/>
          </w:tcPr>
          <w:p>
            <w:pPr>
              <w:pStyle w:val="8"/>
              <w:spacing w:before="122"/>
              <w:ind w:left="1236" w:right="1115"/>
              <w:jc w:val="center"/>
              <w:rPr>
                <w:rFonts w:hint="eastAsia" w:ascii="仿宋" w:hAnsi="仿宋" w:eastAsia="仿宋" w:cs="仿宋"/>
                <w:b/>
                <w:sz w:val="18"/>
              </w:rPr>
            </w:pPr>
            <w:r>
              <w:rPr>
                <w:rFonts w:hint="eastAsia" w:ascii="仿宋" w:hAnsi="仿宋" w:eastAsia="仿宋" w:cs="仿宋"/>
                <w:b/>
                <w:sz w:val="18"/>
              </w:rPr>
              <w:t>方法</w:t>
            </w:r>
          </w:p>
        </w:tc>
        <w:tc>
          <w:tcPr>
            <w:tcW w:w="1285" w:type="dxa"/>
          </w:tcPr>
          <w:p>
            <w:pPr>
              <w:pStyle w:val="8"/>
              <w:spacing w:before="119"/>
              <w:ind w:left="195" w:right="179"/>
              <w:jc w:val="center"/>
              <w:rPr>
                <w:rFonts w:hint="eastAsia" w:ascii="仿宋" w:hAnsi="仿宋" w:eastAsia="仿宋" w:cs="仿宋"/>
                <w:b/>
                <w:sz w:val="18"/>
              </w:rPr>
            </w:pPr>
            <w:r>
              <w:rPr>
                <w:rFonts w:hint="eastAsia" w:ascii="仿宋" w:hAnsi="仿宋" w:eastAsia="仿宋" w:cs="仿宋"/>
                <w:b/>
                <w:sz w:val="18"/>
              </w:rPr>
              <w:t>退货值</w:t>
            </w:r>
          </w:p>
        </w:tc>
        <w:tc>
          <w:tcPr>
            <w:tcW w:w="1163" w:type="dxa"/>
          </w:tcPr>
          <w:p>
            <w:pPr>
              <w:pStyle w:val="8"/>
              <w:spacing w:before="119"/>
              <w:ind w:left="116"/>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restart"/>
          </w:tcPr>
          <w:p>
            <w:pPr>
              <w:pStyle w:val="8"/>
              <w:rPr>
                <w:rFonts w:hint="eastAsia" w:ascii="仿宋" w:hAnsi="仿宋" w:eastAsia="仿宋" w:cs="仿宋"/>
                <w:b/>
                <w:sz w:val="18"/>
              </w:rPr>
            </w:pPr>
          </w:p>
          <w:p>
            <w:pPr>
              <w:pStyle w:val="8"/>
              <w:rPr>
                <w:rFonts w:hint="eastAsia" w:ascii="仿宋" w:hAnsi="仿宋" w:eastAsia="仿宋" w:cs="仿宋"/>
                <w:b/>
                <w:sz w:val="17"/>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306" w:type="dxa"/>
            <w:gridSpan w:val="2"/>
          </w:tcPr>
          <w:p>
            <w:pPr>
              <w:pStyle w:val="8"/>
              <w:spacing w:before="122"/>
              <w:ind w:left="1234" w:right="1115"/>
              <w:jc w:val="center"/>
              <w:rPr>
                <w:rFonts w:hint="eastAsia" w:ascii="仿宋" w:hAnsi="仿宋" w:eastAsia="仿宋" w:cs="仿宋"/>
                <w:sz w:val="18"/>
              </w:rPr>
            </w:pPr>
            <w:r>
              <w:rPr>
                <w:rFonts w:hint="eastAsia" w:ascii="仿宋" w:hAnsi="仿宋" w:eastAsia="仿宋" w:cs="仿宋"/>
                <w:sz w:val="18"/>
              </w:rPr>
              <w:t>镜检</w:t>
            </w:r>
          </w:p>
        </w:tc>
        <w:tc>
          <w:tcPr>
            <w:tcW w:w="1285" w:type="dxa"/>
          </w:tcPr>
          <w:p>
            <w:pPr>
              <w:pStyle w:val="8"/>
              <w:spacing w:before="119"/>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盐酸法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四氯化碳法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1119" w:type="dxa"/>
            <w:vMerge w:val="restart"/>
          </w:tcPr>
          <w:p>
            <w:pPr>
              <w:pStyle w:val="8"/>
              <w:rPr>
                <w:rFonts w:hint="eastAsia" w:ascii="仿宋" w:hAnsi="仿宋" w:eastAsia="仿宋" w:cs="仿宋"/>
                <w:b/>
                <w:sz w:val="18"/>
              </w:rPr>
            </w:pPr>
          </w:p>
          <w:p>
            <w:pPr>
              <w:pStyle w:val="8"/>
              <w:spacing w:before="134"/>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游离棉酚（mg/kg)</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≤1200</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＞1310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1119" w:type="dxa"/>
            <w:vMerge w:val="continue"/>
            <w:tcBorders>
              <w:top w:val="nil"/>
            </w:tcBorders>
          </w:tcPr>
          <w:p>
            <w:pPr>
              <w:rPr>
                <w:rFonts w:hint="eastAsia" w:ascii="仿宋" w:hAnsi="仿宋" w:eastAsia="仿宋" w:cs="仿宋"/>
                <w:sz w:val="2"/>
                <w:szCs w:val="2"/>
              </w:rPr>
            </w:pPr>
          </w:p>
        </w:tc>
        <w:tc>
          <w:tcPr>
            <w:tcW w:w="9177" w:type="dxa"/>
            <w:gridSpan w:val="5"/>
          </w:tcPr>
          <w:p>
            <w:pPr>
              <w:pStyle w:val="8"/>
              <w:spacing w:before="124"/>
              <w:ind w:left="2916" w:right="2881"/>
              <w:jc w:val="center"/>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6" w:hRule="atLeast"/>
          <w:jc w:val="center"/>
        </w:trPr>
        <w:tc>
          <w:tcPr>
            <w:tcW w:w="10296" w:type="dxa"/>
            <w:gridSpan w:val="6"/>
          </w:tcPr>
          <w:p>
            <w:pPr>
              <w:pStyle w:val="8"/>
              <w:spacing w:before="121"/>
              <w:ind w:left="112"/>
              <w:rPr>
                <w:rFonts w:hint="eastAsia" w:ascii="仿宋" w:hAnsi="仿宋" w:eastAsia="仿宋" w:cs="仿宋"/>
                <w:sz w:val="18"/>
              </w:rPr>
            </w:pPr>
            <w:r>
              <w:rPr>
                <w:rFonts w:hint="eastAsia" w:ascii="仿宋" w:hAnsi="仿宋" w:eastAsia="仿宋" w:cs="仿宋"/>
                <w:sz w:val="18"/>
              </w:rPr>
              <w:t>备注：1、呕吐毒素预警值为 1 mg/kg；</w:t>
            </w:r>
          </w:p>
          <w:p>
            <w:pPr>
              <w:pStyle w:val="8"/>
              <w:spacing w:before="121"/>
              <w:ind w:left="112" w:firstLine="540" w:firstLineChars="300"/>
              <w:rPr>
                <w:rFonts w:hint="eastAsia" w:ascii="仿宋" w:hAnsi="仿宋" w:eastAsia="仿宋" w:cs="仿宋"/>
                <w:b/>
                <w:sz w:val="16"/>
                <w:lang w:val="en-US" w:eastAsia="zh-CN"/>
              </w:rPr>
            </w:pPr>
            <w:r>
              <w:rPr>
                <w:rFonts w:hint="eastAsia" w:ascii="仿宋" w:hAnsi="仿宋" w:eastAsia="仿宋" w:cs="仿宋"/>
                <w:sz w:val="18"/>
              </w:rPr>
              <w:t>2、游离棉酚预警值为 1000 mg/kg;</w:t>
            </w:r>
          </w:p>
          <w:p>
            <w:pPr>
              <w:pStyle w:val="8"/>
              <w:ind w:left="652"/>
              <w:rPr>
                <w:rFonts w:hint="eastAsia" w:ascii="仿宋" w:hAnsi="仿宋" w:eastAsia="仿宋" w:cs="仿宋"/>
                <w:b/>
                <w:sz w:val="17"/>
              </w:rPr>
            </w:pPr>
            <w:r>
              <w:rPr>
                <w:rFonts w:hint="eastAsia" w:ascii="仿宋" w:hAnsi="仿宋" w:eastAsia="仿宋" w:cs="仿宋"/>
                <w:sz w:val="18"/>
              </w:rPr>
              <w:t>3、表中所列限量，除特别注明外均以干物质含量 88 %为基础计算（霉菌总数、细菌总数、沙门氏菌除外）；</w:t>
            </w:r>
          </w:p>
          <w:p>
            <w:pPr>
              <w:pStyle w:val="8"/>
              <w:ind w:left="652"/>
              <w:rPr>
                <w:rFonts w:hint="eastAsia" w:ascii="仿宋" w:hAnsi="仿宋" w:eastAsia="仿宋" w:cs="仿宋"/>
                <w:sz w:val="18"/>
              </w:rPr>
            </w:pPr>
            <w:r>
              <w:rPr>
                <w:rFonts w:hint="eastAsia" w:ascii="仿宋" w:hAnsi="仿宋" w:eastAsia="仿宋" w:cs="仿宋"/>
                <w:sz w:val="18"/>
              </w:rPr>
              <w:t>4、棉絮的收集方法为取不少于 200 g 棉粕样经粉碎后，过 12 目的标准筛，即可分离出棉絮；</w:t>
            </w:r>
          </w:p>
          <w:p>
            <w:pPr>
              <w:pStyle w:val="8"/>
              <w:ind w:left="652"/>
              <w:rPr>
                <w:rFonts w:hint="eastAsia" w:ascii="仿宋" w:hAnsi="仿宋" w:eastAsia="仿宋" w:cs="仿宋"/>
                <w:sz w:val="18"/>
              </w:rPr>
            </w:pPr>
            <w:r>
              <w:rPr>
                <w:rFonts w:hint="eastAsia" w:ascii="仿宋" w:hAnsi="仿宋" w:eastAsia="仿宋" w:cs="仿宋"/>
                <w:position w:val="1"/>
                <w:sz w:val="18"/>
              </w:rPr>
              <w:t>5</w:t>
            </w:r>
            <w:r>
              <w:rPr>
                <w:rFonts w:hint="eastAsia" w:ascii="仿宋" w:hAnsi="仿宋" w:eastAsia="仿宋" w:cs="仿宋"/>
                <w:sz w:val="21"/>
              </w:rPr>
              <w:t>、</w:t>
            </w:r>
            <w:r>
              <w:rPr>
                <w:rFonts w:hint="eastAsia" w:ascii="仿宋" w:hAnsi="仿宋" w:eastAsia="仿宋" w:cs="仿宋"/>
                <w:position w:val="1"/>
                <w:sz w:val="18"/>
              </w:rPr>
              <w:t>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val="0"/>
          <w:bCs/>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val="0"/>
          <w:bCs w:val="0"/>
          <w:sz w:val="24"/>
          <w:szCs w:val="24"/>
        </w:rPr>
        <w:t>包装、运输和储存符合 GB/T 21264-2007中的要求。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7D6800"/>
    <w:rsid w:val="078925D1"/>
    <w:rsid w:val="131A3B1D"/>
    <w:rsid w:val="1F5E2442"/>
    <w:rsid w:val="20C560FB"/>
    <w:rsid w:val="22887589"/>
    <w:rsid w:val="385C0B47"/>
    <w:rsid w:val="3A16031F"/>
    <w:rsid w:val="3A3D1515"/>
    <w:rsid w:val="3E431CA2"/>
    <w:rsid w:val="3F817533"/>
    <w:rsid w:val="40081B38"/>
    <w:rsid w:val="43881600"/>
    <w:rsid w:val="4445400D"/>
    <w:rsid w:val="44C33E45"/>
    <w:rsid w:val="53252A3D"/>
    <w:rsid w:val="53C70BC0"/>
    <w:rsid w:val="59270DD1"/>
    <w:rsid w:val="631725C7"/>
    <w:rsid w:val="6D782F21"/>
    <w:rsid w:val="701F7B0E"/>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2042</Words>
  <Characters>2265</Characters>
  <TotalTime>0</TotalTime>
  <ScaleCrop>false</ScaleCrop>
  <LinksUpToDate>false</LinksUpToDate>
  <CharactersWithSpaces>3286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2023-11-06T07:36:09Z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2052-12.1.0.15712</vt:lpwstr>
  </property>
  <property fmtid="{D5CDD505-2E9C-101B-9397-08002B2CF9AE}" pid="5" name="ICV">
    <vt:lpwstr>84D2111B49C245049189463BF748E38D_12</vt:lpwstr>
  </property>
</Properties>
</file>